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Default Extension="jpeg" ContentType="image/jpeg"/>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spacing w:before="28"/>
        <w:ind w:left="2" w:right="64" w:firstLine="0"/>
        <w:jc w:val="center"/>
        <w:rPr>
          <w:rFonts w:ascii="黑体" w:eastAsia="黑体" w:hint="eastAsia"/>
          <w:b/>
          <w:sz w:val="52"/>
        </w:rPr>
      </w:pPr>
      <w:r>
        <w:rPr>
          <w:rFonts w:ascii="黑体" w:eastAsia="黑体" w:hint="eastAsia"/>
          <w:b/>
          <w:sz w:val="52"/>
        </w:rPr>
        <w:t>潍坊中汇化工有限公司</w:t>
      </w:r>
    </w:p>
    <w:p>
      <w:pPr>
        <w:pStyle w:val="BodyText"/>
        <w:spacing w:before="5"/>
        <w:rPr>
          <w:rFonts w:ascii="黑体"/>
          <w:b/>
          <w:sz w:val="67"/>
        </w:rPr>
      </w:pPr>
    </w:p>
    <w:p>
      <w:pPr>
        <w:spacing w:before="0"/>
        <w:ind w:left="2" w:right="64" w:firstLine="0"/>
        <w:jc w:val="center"/>
        <w:rPr>
          <w:rFonts w:ascii="黑体" w:eastAsia="黑体" w:hint="eastAsia"/>
          <w:b/>
          <w:sz w:val="60"/>
        </w:rPr>
      </w:pPr>
      <w:r>
        <w:rPr>
          <w:rFonts w:ascii="黑体" w:eastAsia="黑体" w:hint="eastAsia"/>
          <w:b/>
          <w:sz w:val="60"/>
        </w:rPr>
        <w:t>突发环境事件应急预案</w:t>
      </w:r>
    </w:p>
    <w:p>
      <w:pPr>
        <w:spacing w:before="398"/>
        <w:ind w:left="3" w:right="64" w:firstLine="0"/>
        <w:jc w:val="center"/>
        <w:rPr>
          <w:rFonts w:ascii="黑体" w:eastAsia="黑体" w:hint="eastAsia"/>
          <w:b/>
          <w:sz w:val="36"/>
        </w:rPr>
      </w:pPr>
      <w:r>
        <w:rPr>
          <w:rFonts w:ascii="黑体" w:eastAsia="黑体" w:hint="eastAsia"/>
          <w:b/>
          <w:sz w:val="36"/>
        </w:rPr>
        <w:t>（第二版）</w:t>
      </w: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spacing w:before="1"/>
        <w:rPr>
          <w:rFonts w:ascii="黑体"/>
          <w:b/>
          <w:sz w:val="32"/>
        </w:rPr>
      </w:pPr>
    </w:p>
    <w:p>
      <w:pPr>
        <w:spacing w:line="364" w:lineRule="auto" w:before="0"/>
        <w:ind w:left="943" w:right="2635" w:firstLine="0"/>
        <w:jc w:val="left"/>
        <w:rPr>
          <w:rFonts w:ascii="黑体" w:eastAsia="黑体" w:hint="eastAsia"/>
          <w:b/>
          <w:sz w:val="36"/>
        </w:rPr>
      </w:pPr>
      <w:r>
        <w:rPr>
          <w:rFonts w:ascii="黑体" w:eastAsia="黑体" w:hint="eastAsia"/>
          <w:b/>
          <w:sz w:val="36"/>
        </w:rPr>
        <w:t>编制单位：潍坊中汇化工有限公司编制人：</w:t>
      </w:r>
    </w:p>
    <w:p>
      <w:pPr>
        <w:spacing w:line="364" w:lineRule="auto" w:before="0"/>
        <w:ind w:left="943" w:right="6252" w:firstLine="0"/>
        <w:jc w:val="left"/>
        <w:rPr>
          <w:rFonts w:ascii="黑体" w:eastAsia="黑体" w:hint="eastAsia"/>
          <w:b/>
          <w:sz w:val="36"/>
        </w:rPr>
      </w:pPr>
      <w:r>
        <w:rPr>
          <w:rFonts w:ascii="黑体" w:eastAsia="黑体" w:hint="eastAsia"/>
          <w:b/>
          <w:sz w:val="36"/>
        </w:rPr>
        <w:t>发布人： </w:t>
      </w:r>
      <w:r>
        <w:rPr>
          <w:rFonts w:ascii="黑体" w:eastAsia="黑体" w:hint="eastAsia"/>
          <w:b/>
          <w:spacing w:val="-4"/>
          <w:sz w:val="36"/>
        </w:rPr>
        <w:t>批准日期： 执行日期：</w:t>
      </w: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spacing w:before="5"/>
        <w:rPr>
          <w:rFonts w:ascii="黑体"/>
          <w:b/>
          <w:sz w:val="25"/>
        </w:rPr>
      </w:pPr>
    </w:p>
    <w:p>
      <w:pPr>
        <w:spacing w:line="364" w:lineRule="auto" w:before="0"/>
        <w:ind w:left="2264" w:right="2325" w:firstLine="0"/>
        <w:jc w:val="center"/>
        <w:rPr>
          <w:rFonts w:ascii="黑体" w:eastAsia="黑体" w:hint="eastAsia"/>
          <w:b/>
          <w:sz w:val="44"/>
        </w:rPr>
      </w:pPr>
      <w:r>
        <w:rPr>
          <w:rFonts w:ascii="黑体" w:eastAsia="黑体" w:hint="eastAsia"/>
          <w:b/>
          <w:sz w:val="44"/>
        </w:rPr>
        <w:t>潍坊中汇化工有限公司二〇一八年九月</w:t>
      </w:r>
    </w:p>
    <w:p>
      <w:pPr>
        <w:spacing w:after="0" w:line="364" w:lineRule="auto"/>
        <w:jc w:val="center"/>
        <w:rPr>
          <w:rFonts w:ascii="黑体" w:eastAsia="黑体" w:hint="eastAsia"/>
          <w:sz w:val="44"/>
        </w:rPr>
        <w:sectPr>
          <w:type w:val="continuous"/>
          <w:pgSz w:w="11910" w:h="16840"/>
          <w:pgMar w:top="1580" w:bottom="280" w:left="1480" w:right="1420"/>
        </w:sectPr>
      </w:pPr>
    </w:p>
    <w:p>
      <w:pPr>
        <w:spacing w:before="104"/>
        <w:ind w:left="3" w:right="64" w:firstLine="0"/>
        <w:jc w:val="center"/>
        <w:rPr>
          <w:b/>
          <w:sz w:val="52"/>
        </w:rPr>
      </w:pPr>
      <w:r>
        <w:rPr>
          <w:b/>
          <w:sz w:val="52"/>
        </w:rPr>
        <w:t>突发环境事件应急预案批准页</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4"/>
        </w:r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8"/>
        <w:gridCol w:w="2400"/>
        <w:gridCol w:w="1040"/>
        <w:gridCol w:w="688"/>
      </w:tblGrid>
      <w:tr>
        <w:trPr>
          <w:trHeight w:val="574" w:hRule="atLeast"/>
        </w:trPr>
        <w:tc>
          <w:tcPr>
            <w:tcW w:w="4448" w:type="dxa"/>
          </w:tcPr>
          <w:p>
            <w:pPr>
              <w:pStyle w:val="TableParagraph"/>
              <w:spacing w:line="364" w:lineRule="exact"/>
              <w:ind w:left="50"/>
              <w:jc w:val="left"/>
              <w:rPr>
                <w:sz w:val="32"/>
              </w:rPr>
            </w:pPr>
            <w:r>
              <w:rPr>
                <w:spacing w:val="-53"/>
                <w:w w:val="99"/>
                <w:sz w:val="32"/>
              </w:rPr>
              <w:t>编制：</w:t>
            </w:r>
            <w:r>
              <w:rPr>
                <w:w w:val="99"/>
                <w:sz w:val="32"/>
              </w:rPr>
              <w:t>（人员签名）</w:t>
            </w:r>
          </w:p>
        </w:tc>
        <w:tc>
          <w:tcPr>
            <w:tcW w:w="2400" w:type="dxa"/>
          </w:tcPr>
          <w:p>
            <w:pPr>
              <w:pStyle w:val="TableParagraph"/>
              <w:spacing w:line="364" w:lineRule="exact"/>
              <w:ind w:right="399"/>
              <w:jc w:val="right"/>
              <w:rPr>
                <w:sz w:val="32"/>
              </w:rPr>
            </w:pPr>
            <w:r>
              <w:rPr>
                <w:w w:val="99"/>
                <w:sz w:val="32"/>
              </w:rPr>
              <w:t>年</w:t>
            </w:r>
          </w:p>
        </w:tc>
        <w:tc>
          <w:tcPr>
            <w:tcW w:w="1040" w:type="dxa"/>
          </w:tcPr>
          <w:p>
            <w:pPr>
              <w:pStyle w:val="TableParagraph"/>
              <w:spacing w:line="364" w:lineRule="exact"/>
              <w:ind w:right="316"/>
              <w:jc w:val="right"/>
              <w:rPr>
                <w:sz w:val="32"/>
              </w:rPr>
            </w:pPr>
            <w:r>
              <w:rPr>
                <w:w w:val="99"/>
                <w:sz w:val="32"/>
              </w:rPr>
              <w:t>月</w:t>
            </w:r>
          </w:p>
        </w:tc>
        <w:tc>
          <w:tcPr>
            <w:tcW w:w="688" w:type="dxa"/>
          </w:tcPr>
          <w:p>
            <w:pPr>
              <w:pStyle w:val="TableParagraph"/>
              <w:spacing w:line="364" w:lineRule="exact"/>
              <w:ind w:right="47"/>
              <w:jc w:val="right"/>
              <w:rPr>
                <w:sz w:val="32"/>
              </w:rPr>
            </w:pPr>
            <w:r>
              <w:rPr>
                <w:w w:val="99"/>
                <w:sz w:val="32"/>
              </w:rPr>
              <w:t>日</w:t>
            </w:r>
          </w:p>
        </w:tc>
      </w:tr>
      <w:tr>
        <w:trPr>
          <w:trHeight w:val="830" w:hRule="atLeast"/>
        </w:trPr>
        <w:tc>
          <w:tcPr>
            <w:tcW w:w="4448" w:type="dxa"/>
          </w:tcPr>
          <w:p>
            <w:pPr>
              <w:pStyle w:val="TableParagraph"/>
              <w:spacing w:before="210"/>
              <w:ind w:left="50"/>
              <w:jc w:val="left"/>
              <w:rPr>
                <w:sz w:val="32"/>
              </w:rPr>
            </w:pPr>
            <w:r>
              <w:rPr>
                <w:spacing w:val="-53"/>
                <w:w w:val="99"/>
                <w:sz w:val="32"/>
              </w:rPr>
              <w:t>评估：</w:t>
            </w:r>
            <w:r>
              <w:rPr>
                <w:w w:val="99"/>
                <w:sz w:val="32"/>
              </w:rPr>
              <w:t>（人员签名）</w:t>
            </w:r>
          </w:p>
        </w:tc>
        <w:tc>
          <w:tcPr>
            <w:tcW w:w="2400" w:type="dxa"/>
          </w:tcPr>
          <w:p>
            <w:pPr>
              <w:pStyle w:val="TableParagraph"/>
              <w:spacing w:before="210"/>
              <w:ind w:right="399"/>
              <w:jc w:val="right"/>
              <w:rPr>
                <w:sz w:val="32"/>
              </w:rPr>
            </w:pPr>
            <w:r>
              <w:rPr>
                <w:w w:val="99"/>
                <w:sz w:val="32"/>
              </w:rPr>
              <w:t>年</w:t>
            </w:r>
          </w:p>
        </w:tc>
        <w:tc>
          <w:tcPr>
            <w:tcW w:w="1040" w:type="dxa"/>
          </w:tcPr>
          <w:p>
            <w:pPr>
              <w:pStyle w:val="TableParagraph"/>
              <w:spacing w:before="210"/>
              <w:ind w:right="316"/>
              <w:jc w:val="right"/>
              <w:rPr>
                <w:sz w:val="32"/>
              </w:rPr>
            </w:pPr>
            <w:r>
              <w:rPr>
                <w:w w:val="99"/>
                <w:sz w:val="32"/>
              </w:rPr>
              <w:t>月</w:t>
            </w:r>
          </w:p>
        </w:tc>
        <w:tc>
          <w:tcPr>
            <w:tcW w:w="688" w:type="dxa"/>
          </w:tcPr>
          <w:p>
            <w:pPr>
              <w:pStyle w:val="TableParagraph"/>
              <w:spacing w:before="210"/>
              <w:ind w:right="47"/>
              <w:jc w:val="right"/>
              <w:rPr>
                <w:sz w:val="32"/>
              </w:rPr>
            </w:pPr>
            <w:r>
              <w:rPr>
                <w:w w:val="99"/>
                <w:sz w:val="32"/>
              </w:rPr>
              <w:t>日</w:t>
            </w:r>
          </w:p>
        </w:tc>
      </w:tr>
      <w:tr>
        <w:trPr>
          <w:trHeight w:val="830" w:hRule="atLeast"/>
        </w:trPr>
        <w:tc>
          <w:tcPr>
            <w:tcW w:w="4448" w:type="dxa"/>
          </w:tcPr>
          <w:p>
            <w:pPr>
              <w:pStyle w:val="TableParagraph"/>
              <w:spacing w:before="210"/>
              <w:ind w:left="50"/>
              <w:jc w:val="left"/>
              <w:rPr>
                <w:sz w:val="32"/>
              </w:rPr>
            </w:pPr>
            <w:r>
              <w:rPr>
                <w:spacing w:val="-53"/>
                <w:w w:val="99"/>
                <w:sz w:val="32"/>
              </w:rPr>
              <w:t>复核：</w:t>
            </w:r>
            <w:r>
              <w:rPr>
                <w:w w:val="99"/>
                <w:sz w:val="32"/>
              </w:rPr>
              <w:t>（人员签名）</w:t>
            </w:r>
          </w:p>
        </w:tc>
        <w:tc>
          <w:tcPr>
            <w:tcW w:w="2400" w:type="dxa"/>
          </w:tcPr>
          <w:p>
            <w:pPr>
              <w:pStyle w:val="TableParagraph"/>
              <w:spacing w:before="210"/>
              <w:ind w:right="399"/>
              <w:jc w:val="right"/>
              <w:rPr>
                <w:sz w:val="32"/>
              </w:rPr>
            </w:pPr>
            <w:r>
              <w:rPr>
                <w:w w:val="99"/>
                <w:sz w:val="32"/>
              </w:rPr>
              <w:t>年</w:t>
            </w:r>
          </w:p>
        </w:tc>
        <w:tc>
          <w:tcPr>
            <w:tcW w:w="1040" w:type="dxa"/>
          </w:tcPr>
          <w:p>
            <w:pPr>
              <w:pStyle w:val="TableParagraph"/>
              <w:spacing w:before="210"/>
              <w:ind w:right="316"/>
              <w:jc w:val="right"/>
              <w:rPr>
                <w:sz w:val="32"/>
              </w:rPr>
            </w:pPr>
            <w:r>
              <w:rPr>
                <w:w w:val="99"/>
                <w:sz w:val="32"/>
              </w:rPr>
              <w:t>月</w:t>
            </w:r>
          </w:p>
        </w:tc>
        <w:tc>
          <w:tcPr>
            <w:tcW w:w="688" w:type="dxa"/>
          </w:tcPr>
          <w:p>
            <w:pPr>
              <w:pStyle w:val="TableParagraph"/>
              <w:spacing w:before="210"/>
              <w:ind w:right="47"/>
              <w:jc w:val="right"/>
              <w:rPr>
                <w:sz w:val="32"/>
              </w:rPr>
            </w:pPr>
            <w:r>
              <w:rPr>
                <w:w w:val="99"/>
                <w:sz w:val="32"/>
              </w:rPr>
              <w:t>日</w:t>
            </w:r>
          </w:p>
        </w:tc>
      </w:tr>
      <w:tr>
        <w:trPr>
          <w:trHeight w:val="574" w:hRule="atLeast"/>
        </w:trPr>
        <w:tc>
          <w:tcPr>
            <w:tcW w:w="4448" w:type="dxa"/>
          </w:tcPr>
          <w:p>
            <w:pPr>
              <w:pStyle w:val="TableParagraph"/>
              <w:spacing w:line="345" w:lineRule="exact" w:before="210"/>
              <w:ind w:left="50"/>
              <w:jc w:val="left"/>
              <w:rPr>
                <w:sz w:val="32"/>
              </w:rPr>
            </w:pPr>
            <w:r>
              <w:rPr>
                <w:spacing w:val="-53"/>
                <w:w w:val="99"/>
                <w:sz w:val="32"/>
              </w:rPr>
              <w:t>批准：</w:t>
            </w:r>
            <w:r>
              <w:rPr>
                <w:w w:val="99"/>
                <w:sz w:val="32"/>
              </w:rPr>
              <w:t>（人员签名）</w:t>
            </w:r>
          </w:p>
        </w:tc>
        <w:tc>
          <w:tcPr>
            <w:tcW w:w="2400" w:type="dxa"/>
          </w:tcPr>
          <w:p>
            <w:pPr>
              <w:pStyle w:val="TableParagraph"/>
              <w:spacing w:line="345" w:lineRule="exact" w:before="210"/>
              <w:ind w:right="399"/>
              <w:jc w:val="right"/>
              <w:rPr>
                <w:sz w:val="32"/>
              </w:rPr>
            </w:pPr>
            <w:r>
              <w:rPr>
                <w:w w:val="99"/>
                <w:sz w:val="32"/>
              </w:rPr>
              <w:t>年</w:t>
            </w:r>
          </w:p>
        </w:tc>
        <w:tc>
          <w:tcPr>
            <w:tcW w:w="1040" w:type="dxa"/>
          </w:tcPr>
          <w:p>
            <w:pPr>
              <w:pStyle w:val="TableParagraph"/>
              <w:spacing w:line="345" w:lineRule="exact" w:before="210"/>
              <w:ind w:right="316"/>
              <w:jc w:val="right"/>
              <w:rPr>
                <w:sz w:val="32"/>
              </w:rPr>
            </w:pPr>
            <w:r>
              <w:rPr>
                <w:w w:val="99"/>
                <w:sz w:val="32"/>
              </w:rPr>
              <w:t>月</w:t>
            </w:r>
          </w:p>
        </w:tc>
        <w:tc>
          <w:tcPr>
            <w:tcW w:w="688" w:type="dxa"/>
          </w:tcPr>
          <w:p>
            <w:pPr>
              <w:pStyle w:val="TableParagraph"/>
              <w:spacing w:line="345" w:lineRule="exact" w:before="210"/>
              <w:ind w:right="47"/>
              <w:jc w:val="right"/>
              <w:rPr>
                <w:sz w:val="32"/>
              </w:rPr>
            </w:pPr>
            <w:r>
              <w:rPr>
                <w:w w:val="99"/>
                <w:sz w:val="32"/>
              </w:rPr>
              <w:t>日</w:t>
            </w:r>
          </w:p>
        </w:tc>
      </w:tr>
    </w:tbl>
    <w:p>
      <w:pPr>
        <w:spacing w:after="0" w:line="345" w:lineRule="exact"/>
        <w:jc w:val="right"/>
        <w:rPr>
          <w:sz w:val="32"/>
        </w:rPr>
        <w:sectPr>
          <w:pgSz w:w="11910" w:h="16840"/>
          <w:pgMar w:top="1580" w:bottom="280" w:left="1480" w:right="1420"/>
        </w:sectPr>
      </w:pPr>
    </w:p>
    <w:p>
      <w:pPr>
        <w:pStyle w:val="BodyText"/>
        <w:rPr>
          <w:b/>
          <w:sz w:val="20"/>
        </w:rPr>
      </w:pPr>
    </w:p>
    <w:p>
      <w:pPr>
        <w:pStyle w:val="BodyText"/>
        <w:spacing w:before="4"/>
        <w:rPr>
          <w:b/>
          <w:sz w:val="20"/>
        </w:rPr>
      </w:pPr>
    </w:p>
    <w:p>
      <w:pPr>
        <w:spacing w:before="54"/>
        <w:ind w:left="6" w:right="64" w:firstLine="0"/>
        <w:jc w:val="center"/>
        <w:rPr>
          <w:b/>
          <w:sz w:val="32"/>
        </w:rPr>
      </w:pPr>
      <w:r>
        <w:rPr>
          <w:b/>
          <w:sz w:val="32"/>
        </w:rPr>
        <w:t>突发环境事件应急预案发布令</w:t>
      </w:r>
    </w:p>
    <w:p>
      <w:pPr>
        <w:pStyle w:val="BodyText"/>
        <w:rPr>
          <w:b/>
          <w:sz w:val="32"/>
        </w:rPr>
      </w:pPr>
    </w:p>
    <w:p>
      <w:pPr>
        <w:pStyle w:val="BodyText"/>
        <w:spacing w:line="364" w:lineRule="auto" w:before="267"/>
        <w:ind w:left="221" w:right="277" w:firstLine="559"/>
        <w:jc w:val="both"/>
      </w:pPr>
      <w:r>
        <w:rPr/>
        <w:t>为贯彻《中华人民共和国突发事件应对法》及其它国家法律、法规及有关文件的要求，有效防范应对突发环境事件，保护人员生命安全，减少单位财产损失，本单位特组织相关部门和机构编制了《</w:t>
      </w:r>
      <w:r>
        <w:rPr>
          <w:u w:val="single"/>
        </w:rPr>
        <w:t>潍坊</w:t>
      </w:r>
      <w:r>
        <w:rPr>
          <w:spacing w:val="-273"/>
          <w:u w:val="single"/>
        </w:rPr>
        <w:t>中汇</w:t>
      </w:r>
      <w:r>
        <w:rPr>
          <w:spacing w:val="-3"/>
          <w:u w:val="single"/>
        </w:rPr>
        <w:t>化工有限公司</w:t>
      </w:r>
      <w:r>
        <w:rPr>
          <w:spacing w:val="-15"/>
        </w:rPr>
        <w:t>突发环境事件应急预案》。该预案是本单位实施应急救援</w:t>
      </w:r>
      <w:r>
        <w:rPr/>
        <w:t>的规范性文件，用于指导本单位针对突发环境事件的应急救援行动。</w:t>
      </w:r>
    </w:p>
    <w:p>
      <w:pPr>
        <w:pStyle w:val="BodyText"/>
        <w:tabs>
          <w:tab w:pos="4594" w:val="left" w:leader="none"/>
          <w:tab w:pos="5292" w:val="left" w:leader="none"/>
          <w:tab w:pos="5993" w:val="left" w:leader="none"/>
        </w:tabs>
        <w:spacing w:line="356" w:lineRule="exact"/>
        <w:ind w:left="116"/>
        <w:jc w:val="center"/>
      </w:pPr>
      <w:r>
        <w:rPr/>
        <w:t>本突发</w:t>
      </w:r>
      <w:r>
        <w:rPr>
          <w:spacing w:val="-3"/>
        </w:rPr>
        <w:t>环</w:t>
      </w:r>
      <w:r>
        <w:rPr/>
        <w:t>境事</w:t>
      </w:r>
      <w:r>
        <w:rPr>
          <w:spacing w:val="-3"/>
        </w:rPr>
        <w:t>件应</w:t>
      </w:r>
      <w:r>
        <w:rPr/>
        <w:t>急预案</w:t>
      </w:r>
      <w:r>
        <w:rPr>
          <w:spacing w:val="-3"/>
        </w:rPr>
        <w:t>，</w:t>
      </w:r>
      <w:r>
        <w:rPr/>
        <w:t>于</w:t>
      </w:r>
      <w:r>
        <w:rPr>
          <w:u w:val="single"/>
        </w:rPr>
        <w:t> </w:t>
        <w:tab/>
      </w:r>
      <w:r>
        <w:rPr/>
        <w:t>年</w:t>
      </w:r>
      <w:r>
        <w:rPr>
          <w:u w:val="single"/>
        </w:rPr>
        <w:t> </w:t>
        <w:tab/>
      </w:r>
      <w:r>
        <w:rPr/>
        <w:t>月</w:t>
      </w:r>
      <w:r>
        <w:rPr>
          <w:u w:val="single"/>
        </w:rPr>
        <w:t> </w:t>
        <w:tab/>
      </w:r>
      <w:r>
        <w:rPr/>
        <w:t>日批</w:t>
      </w:r>
      <w:r>
        <w:rPr>
          <w:spacing w:val="-3"/>
        </w:rPr>
        <w:t>准</w:t>
      </w:r>
      <w:r>
        <w:rPr/>
        <w:t>发布，</w:t>
      </w:r>
    </w:p>
    <w:p>
      <w:pPr>
        <w:pStyle w:val="BodyText"/>
        <w:tabs>
          <w:tab w:pos="917" w:val="left" w:leader="none"/>
          <w:tab w:pos="1618" w:val="left" w:leader="none"/>
          <w:tab w:pos="2319" w:val="left" w:leader="none"/>
        </w:tabs>
        <w:spacing w:before="186"/>
        <w:ind w:left="80"/>
        <w:jc w:val="center"/>
      </w:pPr>
      <w:r>
        <w:rPr>
          <w:rFonts w:ascii="Times New Roman" w:eastAsia="Times New Roman"/>
          <w:w w:val="100"/>
          <w:u w:val="single"/>
        </w:rPr>
        <w:t> </w:t>
      </w:r>
      <w:r>
        <w:rPr>
          <w:rFonts w:ascii="Times New Roman" w:eastAsia="Times New Roman"/>
          <w:u w:val="single"/>
        </w:rPr>
        <w:tab/>
      </w:r>
      <w:r>
        <w:rPr/>
        <w:t>年</w:t>
      </w:r>
      <w:r>
        <w:rPr>
          <w:u w:val="single"/>
        </w:rPr>
        <w:t> </w:t>
        <w:tab/>
      </w:r>
      <w:r>
        <w:rPr/>
        <w:t>月</w:t>
      </w:r>
      <w:r>
        <w:rPr>
          <w:u w:val="single"/>
        </w:rPr>
        <w:t> </w:t>
        <w:tab/>
      </w:r>
      <w:r>
        <w:rPr/>
        <w:t>日正式</w:t>
      </w:r>
      <w:r>
        <w:rPr>
          <w:spacing w:val="-3"/>
        </w:rPr>
        <w:t>实</w:t>
      </w:r>
      <w:r>
        <w:rPr/>
        <w:t>施</w:t>
      </w:r>
      <w:r>
        <w:rPr>
          <w:spacing w:val="-36"/>
        </w:rPr>
        <w:t>。</w:t>
      </w:r>
      <w:r>
        <w:rPr>
          <w:spacing w:val="-3"/>
        </w:rPr>
        <w:t>本单</w:t>
      </w:r>
      <w:r>
        <w:rPr/>
        <w:t>位内所</w:t>
      </w:r>
      <w:r>
        <w:rPr>
          <w:spacing w:val="-3"/>
        </w:rPr>
        <w:t>有</w:t>
      </w:r>
      <w:r>
        <w:rPr/>
        <w:t>部门</w:t>
      </w:r>
      <w:r>
        <w:rPr>
          <w:spacing w:val="-3"/>
        </w:rPr>
        <w:t>均应</w:t>
      </w:r>
      <w:r>
        <w:rPr/>
        <w:t>严格遵</w:t>
      </w:r>
      <w:r>
        <w:rPr>
          <w:spacing w:val="-3"/>
        </w:rPr>
        <w:t>守</w:t>
      </w:r>
      <w:r>
        <w:rPr/>
        <w:t>执</w:t>
      </w:r>
      <w:r>
        <w:rPr>
          <w:spacing w:val="-3"/>
        </w:rPr>
        <w:t>行</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251658240;mso-wrap-distance-left:0;mso-wrap-distance-right:0" from="377.279999pt,21.010334pt" to="496.319999pt,21.010334pt" stroked="true" strokeweight=".72pt" strokecolor="#000000">
            <v:stroke dashstyle="solid"/>
            <w10:wrap type="topAndBottom"/>
          </v:line>
        </w:pict>
      </w:r>
    </w:p>
    <w:p>
      <w:pPr>
        <w:pStyle w:val="BodyText"/>
        <w:spacing w:before="2"/>
        <w:rPr>
          <w:sz w:val="7"/>
        </w:rPr>
      </w:pPr>
    </w:p>
    <w:p>
      <w:pPr>
        <w:pStyle w:val="BodyText"/>
        <w:tabs>
          <w:tab w:pos="6900" w:val="left" w:leader="none"/>
          <w:tab w:pos="7462" w:val="left" w:leader="none"/>
        </w:tabs>
        <w:spacing w:line="362" w:lineRule="auto" w:before="61"/>
        <w:ind w:left="6339" w:right="1118" w:firstLine="422"/>
      </w:pPr>
      <w:r>
        <w:rPr/>
        <w:t>批准人</w:t>
      </w:r>
      <w:r>
        <w:rPr>
          <w:spacing w:val="-17"/>
        </w:rPr>
        <w:t>： </w:t>
      </w:r>
      <w:r>
        <w:rPr/>
        <w:t>年</w:t>
        <w:tab/>
        <w:t>月</w:t>
        <w:tab/>
        <w:t>日</w:t>
      </w:r>
    </w:p>
    <w:p>
      <w:pPr>
        <w:spacing w:after="0" w:line="362" w:lineRule="auto"/>
        <w:sectPr>
          <w:pgSz w:w="11910" w:h="16840"/>
          <w:pgMar w:top="1580" w:bottom="280" w:left="1480" w:right="1420"/>
        </w:sectPr>
      </w:pPr>
    </w:p>
    <w:p>
      <w:pPr>
        <w:tabs>
          <w:tab w:pos="803" w:val="left" w:leader="none"/>
        </w:tabs>
        <w:spacing w:before="103"/>
        <w:ind w:left="0" w:right="64" w:firstLine="0"/>
        <w:jc w:val="center"/>
        <w:rPr>
          <w:b/>
          <w:sz w:val="32"/>
        </w:rPr>
      </w:pPr>
      <w:r>
        <w:rPr>
          <w:b/>
          <w:sz w:val="32"/>
        </w:rPr>
        <w:t>目</w:t>
        <w:tab/>
        <w:t>录</w:t>
      </w:r>
    </w:p>
    <w:p>
      <w:pPr>
        <w:spacing w:after="0"/>
        <w:jc w:val="center"/>
        <w:rPr>
          <w:sz w:val="32"/>
        </w:rPr>
        <w:sectPr>
          <w:pgSz w:w="11910" w:h="16840"/>
          <w:pgMar w:top="1580" w:bottom="1458" w:left="1480" w:right="1420"/>
        </w:sectPr>
      </w:pPr>
    </w:p>
    <w:sdt>
      <w:sdtPr>
        <w:docPartObj>
          <w:docPartGallery w:val="Table of Contents"/>
          <w:docPartUnique/>
        </w:docPartObj>
      </w:sdtPr>
      <w:sdtEndPr/>
      <w:sdtContent>
        <w:p>
          <w:pPr>
            <w:pStyle w:val="TOC1"/>
            <w:numPr>
              <w:ilvl w:val="0"/>
              <w:numId w:val="1"/>
            </w:numPr>
            <w:tabs>
              <w:tab w:pos="433" w:val="left" w:leader="none"/>
              <w:tab w:pos="8352" w:val="left" w:leader="dot"/>
            </w:tabs>
            <w:spacing w:line="240" w:lineRule="auto" w:before="126" w:after="0"/>
            <w:ind w:left="432" w:right="67" w:hanging="433"/>
            <w:jc w:val="left"/>
            <w:rPr>
              <w:rFonts w:ascii="Times New Roman" w:eastAsia="Times New Roman"/>
            </w:rPr>
          </w:pPr>
          <w:hyperlink w:history="true" w:anchor="_TOC_250067">
            <w:r>
              <w:rPr/>
              <w:t>总则</w:t>
              <w:tab/>
            </w:r>
            <w:r>
              <w:rPr>
                <w:rFonts w:ascii="Times New Roman" w:eastAsia="Times New Roman"/>
              </w:rPr>
              <w:t>1</w:t>
            </w:r>
          </w:hyperlink>
        </w:p>
        <w:p>
          <w:pPr>
            <w:pStyle w:val="TOC1"/>
            <w:numPr>
              <w:ilvl w:val="1"/>
              <w:numId w:val="1"/>
            </w:numPr>
            <w:tabs>
              <w:tab w:pos="495" w:val="left" w:leader="none"/>
              <w:tab w:pos="8071" w:val="left" w:leader="dot"/>
            </w:tabs>
            <w:spacing w:line="240" w:lineRule="auto" w:before="124" w:after="0"/>
            <w:ind w:left="996" w:right="289" w:hanging="997"/>
            <w:jc w:val="right"/>
            <w:rPr>
              <w:rFonts w:ascii="Times New Roman" w:eastAsia="Times New Roman"/>
            </w:rPr>
          </w:pPr>
          <w:hyperlink w:history="true" w:anchor="_TOC_250066">
            <w:r>
              <w:rPr/>
              <w:t>编制目的</w:t>
              <w:tab/>
            </w:r>
            <w:r>
              <w:rPr>
                <w:rFonts w:ascii="Times New Roman" w:eastAsia="Times New Roman"/>
              </w:rPr>
              <w:t>1</w:t>
            </w:r>
          </w:hyperlink>
        </w:p>
        <w:p>
          <w:pPr>
            <w:pStyle w:val="TOC1"/>
            <w:numPr>
              <w:ilvl w:val="1"/>
              <w:numId w:val="1"/>
            </w:numPr>
            <w:tabs>
              <w:tab w:pos="495" w:val="left" w:leader="none"/>
              <w:tab w:pos="8071" w:val="left" w:leader="dot"/>
            </w:tabs>
            <w:spacing w:line="240" w:lineRule="auto" w:before="4" w:after="0"/>
            <w:ind w:left="996" w:right="289" w:hanging="997"/>
            <w:jc w:val="right"/>
            <w:rPr>
              <w:rFonts w:ascii="Times New Roman" w:eastAsia="Times New Roman"/>
            </w:rPr>
          </w:pPr>
          <w:hyperlink w:history="true" w:anchor="_TOC_250065">
            <w:r>
              <w:rPr/>
              <w:t>编制依据</w:t>
              <w:tab/>
            </w:r>
            <w:r>
              <w:rPr>
                <w:rFonts w:ascii="Times New Roman" w:eastAsia="Times New Roman"/>
              </w:rPr>
              <w:t>1</w:t>
            </w:r>
          </w:hyperlink>
        </w:p>
        <w:p>
          <w:pPr>
            <w:pStyle w:val="TOC1"/>
            <w:numPr>
              <w:ilvl w:val="1"/>
              <w:numId w:val="1"/>
            </w:numPr>
            <w:tabs>
              <w:tab w:pos="495" w:val="left" w:leader="none"/>
              <w:tab w:pos="8071" w:val="left" w:leader="dot"/>
            </w:tabs>
            <w:spacing w:line="240" w:lineRule="auto" w:before="6" w:after="0"/>
            <w:ind w:left="996" w:right="289" w:hanging="997"/>
            <w:jc w:val="right"/>
            <w:rPr>
              <w:rFonts w:ascii="Times New Roman" w:eastAsia="Times New Roman"/>
            </w:rPr>
          </w:pPr>
          <w:hyperlink w:history="true" w:anchor="_TOC_250064">
            <w:r>
              <w:rPr/>
              <w:t>应急预案的适用范围</w:t>
              <w:tab/>
            </w:r>
            <w:r>
              <w:rPr>
                <w:rFonts w:ascii="Times New Roman" w:eastAsia="Times New Roman"/>
              </w:rPr>
              <w:t>4</w:t>
            </w:r>
          </w:hyperlink>
        </w:p>
        <w:p>
          <w:pPr>
            <w:pStyle w:val="TOC1"/>
            <w:numPr>
              <w:ilvl w:val="1"/>
              <w:numId w:val="1"/>
            </w:numPr>
            <w:tabs>
              <w:tab w:pos="495" w:val="left" w:leader="none"/>
              <w:tab w:pos="8071" w:val="left" w:leader="dot"/>
            </w:tabs>
            <w:spacing w:line="240" w:lineRule="auto" w:before="3" w:after="0"/>
            <w:ind w:left="996" w:right="289" w:hanging="997"/>
            <w:jc w:val="right"/>
            <w:rPr>
              <w:rFonts w:ascii="Times New Roman" w:eastAsia="Times New Roman"/>
            </w:rPr>
          </w:pPr>
          <w:hyperlink w:history="true" w:anchor="_TOC_250063">
            <w:r>
              <w:rPr/>
              <w:t>突发环境事件分级标准</w:t>
              <w:tab/>
            </w:r>
            <w:r>
              <w:rPr>
                <w:rFonts w:ascii="Times New Roman" w:eastAsia="Times New Roman"/>
              </w:rPr>
              <w:t>4</w:t>
            </w:r>
          </w:hyperlink>
        </w:p>
        <w:p>
          <w:pPr>
            <w:pStyle w:val="TOC1"/>
            <w:numPr>
              <w:ilvl w:val="1"/>
              <w:numId w:val="1"/>
            </w:numPr>
            <w:tabs>
              <w:tab w:pos="495" w:val="left" w:leader="none"/>
              <w:tab w:pos="8071" w:val="left" w:leader="dot"/>
            </w:tabs>
            <w:spacing w:line="240" w:lineRule="auto" w:before="4" w:after="0"/>
            <w:ind w:left="996" w:right="289" w:hanging="997"/>
            <w:jc w:val="right"/>
            <w:rPr>
              <w:rFonts w:ascii="Times New Roman" w:eastAsia="Times New Roman"/>
            </w:rPr>
          </w:pPr>
          <w:hyperlink w:history="true" w:anchor="_TOC_250062">
            <w:r>
              <w:rPr/>
              <w:t>编制要求与工作原则</w:t>
              <w:tab/>
            </w:r>
            <w:r>
              <w:rPr>
                <w:rFonts w:ascii="Times New Roman" w:eastAsia="Times New Roman"/>
              </w:rPr>
              <w:t>6</w:t>
            </w:r>
          </w:hyperlink>
        </w:p>
        <w:p>
          <w:pPr>
            <w:pStyle w:val="TOC1"/>
            <w:numPr>
              <w:ilvl w:val="1"/>
              <w:numId w:val="1"/>
            </w:numPr>
            <w:tabs>
              <w:tab w:pos="495" w:val="left" w:leader="none"/>
              <w:tab w:pos="8071" w:val="left" w:leader="dot"/>
            </w:tabs>
            <w:spacing w:line="240" w:lineRule="auto" w:before="4" w:after="0"/>
            <w:ind w:left="996" w:right="289" w:hanging="997"/>
            <w:jc w:val="right"/>
            <w:rPr>
              <w:rFonts w:ascii="Times New Roman" w:eastAsia="Times New Roman"/>
            </w:rPr>
          </w:pPr>
          <w:r>
            <w:rPr/>
            <w:t>突发环境事件应急预案的组成</w:t>
            <w:tab/>
          </w:r>
          <w:r>
            <w:rPr>
              <w:rFonts w:ascii="Times New Roman" w:eastAsia="Times New Roman"/>
            </w:rPr>
            <w:t>6</w:t>
          </w:r>
        </w:p>
        <w:p>
          <w:pPr>
            <w:pStyle w:val="TOC1"/>
            <w:numPr>
              <w:ilvl w:val="1"/>
              <w:numId w:val="1"/>
            </w:numPr>
            <w:tabs>
              <w:tab w:pos="495" w:val="left" w:leader="none"/>
              <w:tab w:pos="8071" w:val="left" w:leader="dot"/>
            </w:tabs>
            <w:spacing w:line="240" w:lineRule="auto" w:before="6" w:after="0"/>
            <w:ind w:left="996" w:right="289" w:hanging="997"/>
            <w:jc w:val="right"/>
            <w:rPr>
              <w:rFonts w:ascii="Times New Roman" w:eastAsia="Times New Roman"/>
            </w:rPr>
          </w:pPr>
          <w:hyperlink w:history="true" w:anchor="_TOC_250061">
            <w:r>
              <w:rPr/>
              <w:t>突发环境事件应急预案的启动</w:t>
              <w:tab/>
            </w:r>
            <w:r>
              <w:rPr>
                <w:rFonts w:ascii="Times New Roman" w:eastAsia="Times New Roman"/>
              </w:rPr>
              <w:t>8</w:t>
            </w:r>
          </w:hyperlink>
        </w:p>
        <w:p>
          <w:pPr>
            <w:pStyle w:val="TOC1"/>
            <w:numPr>
              <w:ilvl w:val="0"/>
              <w:numId w:val="1"/>
            </w:numPr>
            <w:tabs>
              <w:tab w:pos="212" w:val="left" w:leader="none"/>
              <w:tab w:pos="8352" w:val="left" w:leader="dot"/>
            </w:tabs>
            <w:spacing w:line="240" w:lineRule="auto" w:before="124" w:after="0"/>
            <w:ind w:left="432" w:right="289" w:hanging="433"/>
            <w:jc w:val="right"/>
            <w:rPr>
              <w:rFonts w:ascii="Times New Roman" w:eastAsia="Times New Roman"/>
            </w:rPr>
          </w:pPr>
          <w:hyperlink w:history="true" w:anchor="_TOC_250060">
            <w:r>
              <w:rPr/>
              <w:t>企业基本情况</w:t>
              <w:tab/>
            </w:r>
            <w:r>
              <w:rPr>
                <w:rFonts w:ascii="Times New Roman" w:eastAsia="Times New Roman"/>
              </w:rPr>
              <w:t>8</w:t>
            </w:r>
          </w:hyperlink>
        </w:p>
        <w:p>
          <w:pPr>
            <w:pStyle w:val="TOC1"/>
            <w:numPr>
              <w:ilvl w:val="1"/>
              <w:numId w:val="1"/>
            </w:numPr>
            <w:tabs>
              <w:tab w:pos="495" w:val="left" w:leader="none"/>
              <w:tab w:pos="8071" w:val="left" w:leader="dot"/>
            </w:tabs>
            <w:spacing w:line="240" w:lineRule="auto" w:before="123" w:after="0"/>
            <w:ind w:left="996" w:right="289" w:hanging="997"/>
            <w:jc w:val="right"/>
            <w:rPr>
              <w:rFonts w:ascii="Times New Roman" w:eastAsia="Times New Roman"/>
            </w:rPr>
          </w:pPr>
          <w:hyperlink w:history="true" w:anchor="_TOC_250059">
            <w:r>
              <w:rPr/>
              <w:t>企业简介</w:t>
              <w:tab/>
            </w:r>
            <w:r>
              <w:rPr>
                <w:rFonts w:ascii="Times New Roman" w:eastAsia="Times New Roman"/>
              </w:rPr>
              <w:t>8</w:t>
            </w:r>
          </w:hyperlink>
        </w:p>
        <w:p>
          <w:pPr>
            <w:pStyle w:val="TOC1"/>
            <w:numPr>
              <w:ilvl w:val="1"/>
              <w:numId w:val="1"/>
            </w:numPr>
            <w:tabs>
              <w:tab w:pos="495" w:val="left" w:leader="none"/>
              <w:tab w:pos="7929" w:val="left" w:leader="dot"/>
            </w:tabs>
            <w:spacing w:line="240" w:lineRule="auto" w:before="6" w:after="0"/>
            <w:ind w:left="996" w:right="289" w:hanging="997"/>
            <w:jc w:val="right"/>
            <w:rPr>
              <w:rFonts w:ascii="Times New Roman" w:eastAsia="Times New Roman"/>
            </w:rPr>
          </w:pPr>
          <w:hyperlink w:history="true" w:anchor="_TOC_250058">
            <w:r>
              <w:rPr/>
              <w:t>环境概况</w:t>
              <w:tab/>
            </w:r>
            <w:r>
              <w:rPr>
                <w:rFonts w:ascii="Times New Roman" w:eastAsia="Times New Roman"/>
              </w:rPr>
              <w:t>12</w:t>
            </w:r>
          </w:hyperlink>
        </w:p>
        <w:p>
          <w:pPr>
            <w:pStyle w:val="TOC1"/>
            <w:numPr>
              <w:ilvl w:val="1"/>
              <w:numId w:val="1"/>
            </w:numPr>
            <w:tabs>
              <w:tab w:pos="495" w:val="left" w:leader="none"/>
              <w:tab w:pos="7929" w:val="left" w:leader="dot"/>
            </w:tabs>
            <w:spacing w:line="240" w:lineRule="auto" w:before="4" w:after="0"/>
            <w:ind w:left="996" w:right="289" w:hanging="997"/>
            <w:jc w:val="right"/>
            <w:rPr>
              <w:rFonts w:ascii="Times New Roman" w:eastAsia="Times New Roman"/>
            </w:rPr>
          </w:pPr>
          <w:hyperlink w:history="true" w:anchor="_TOC_250057">
            <w:r>
              <w:rPr/>
              <w:t>生产状况</w:t>
              <w:tab/>
            </w:r>
            <w:r>
              <w:rPr>
                <w:rFonts w:ascii="Times New Roman" w:eastAsia="Times New Roman"/>
              </w:rPr>
              <w:t>12</w:t>
            </w:r>
          </w:hyperlink>
        </w:p>
        <w:p>
          <w:pPr>
            <w:pStyle w:val="TOC1"/>
            <w:numPr>
              <w:ilvl w:val="1"/>
              <w:numId w:val="1"/>
            </w:numPr>
            <w:tabs>
              <w:tab w:pos="495" w:val="left" w:leader="none"/>
              <w:tab w:pos="8071" w:val="left" w:leader="dot"/>
            </w:tabs>
            <w:spacing w:line="240" w:lineRule="auto" w:before="3" w:after="0"/>
            <w:ind w:left="996" w:right="289" w:hanging="997"/>
            <w:jc w:val="right"/>
            <w:rPr>
              <w:rFonts w:ascii="Times New Roman" w:eastAsia="Times New Roman"/>
            </w:rPr>
          </w:pPr>
          <w:hyperlink w:history="true" w:anchor="_TOC_250056">
            <w:r>
              <w:rPr/>
              <w:t>主要设备</w:t>
              <w:tab/>
            </w:r>
            <w:r>
              <w:rPr>
                <w:rFonts w:ascii="Times New Roman" w:eastAsia="Times New Roman"/>
              </w:rPr>
              <w:t>1</w:t>
            </w:r>
          </w:hyperlink>
        </w:p>
        <w:p>
          <w:pPr>
            <w:pStyle w:val="TOC1"/>
            <w:numPr>
              <w:ilvl w:val="1"/>
              <w:numId w:val="1"/>
            </w:numPr>
            <w:tabs>
              <w:tab w:pos="495" w:val="left" w:leader="none"/>
              <w:tab w:pos="8071" w:val="left" w:leader="dot"/>
            </w:tabs>
            <w:spacing w:line="240" w:lineRule="auto" w:before="7" w:after="0"/>
            <w:ind w:left="996" w:right="289" w:hanging="997"/>
            <w:jc w:val="right"/>
            <w:rPr>
              <w:rFonts w:ascii="Times New Roman" w:eastAsia="Times New Roman"/>
            </w:rPr>
          </w:pPr>
          <w:hyperlink w:history="true" w:anchor="_TOC_250055">
            <w:r>
              <w:rPr/>
              <w:t>污染物产生及排放处理情况</w:t>
              <w:tab/>
            </w:r>
            <w:r>
              <w:rPr>
                <w:rFonts w:ascii="Times New Roman" w:eastAsia="Times New Roman"/>
              </w:rPr>
              <w:t>3</w:t>
            </w:r>
          </w:hyperlink>
        </w:p>
        <w:p>
          <w:pPr>
            <w:pStyle w:val="TOC1"/>
            <w:numPr>
              <w:ilvl w:val="1"/>
              <w:numId w:val="1"/>
            </w:numPr>
            <w:tabs>
              <w:tab w:pos="495" w:val="left" w:leader="none"/>
              <w:tab w:pos="8071" w:val="left" w:leader="dot"/>
            </w:tabs>
            <w:spacing w:line="240" w:lineRule="auto" w:before="3" w:after="0"/>
            <w:ind w:left="996" w:right="289" w:hanging="997"/>
            <w:jc w:val="right"/>
            <w:rPr>
              <w:rFonts w:ascii="Times New Roman" w:eastAsia="Times New Roman"/>
            </w:rPr>
          </w:pPr>
          <w:hyperlink w:history="true" w:anchor="_TOC_250054">
            <w:r>
              <w:rPr/>
              <w:t>环境质量标准</w:t>
              <w:tab/>
            </w:r>
            <w:r>
              <w:rPr>
                <w:rFonts w:ascii="Times New Roman" w:eastAsia="Times New Roman"/>
              </w:rPr>
              <w:t>5</w:t>
            </w:r>
          </w:hyperlink>
        </w:p>
        <w:p>
          <w:pPr>
            <w:pStyle w:val="TOC1"/>
            <w:numPr>
              <w:ilvl w:val="1"/>
              <w:numId w:val="1"/>
            </w:numPr>
            <w:tabs>
              <w:tab w:pos="495" w:val="left" w:leader="none"/>
              <w:tab w:pos="8071" w:val="left" w:leader="dot"/>
            </w:tabs>
            <w:spacing w:line="240" w:lineRule="auto" w:before="4" w:after="0"/>
            <w:ind w:left="996" w:right="289" w:hanging="997"/>
            <w:jc w:val="right"/>
            <w:rPr>
              <w:rFonts w:ascii="Times New Roman" w:eastAsia="Times New Roman"/>
            </w:rPr>
          </w:pPr>
          <w:hyperlink w:history="true" w:anchor="_TOC_250053">
            <w:r>
              <w:rPr/>
              <w:t>环境保护目标</w:t>
              <w:tab/>
            </w:r>
            <w:r>
              <w:rPr>
                <w:rFonts w:ascii="Times New Roman" w:eastAsia="Times New Roman"/>
              </w:rPr>
              <w:t>6</w:t>
            </w:r>
          </w:hyperlink>
        </w:p>
        <w:p>
          <w:pPr>
            <w:pStyle w:val="TOC1"/>
            <w:numPr>
              <w:ilvl w:val="0"/>
              <w:numId w:val="1"/>
            </w:numPr>
            <w:tabs>
              <w:tab w:pos="212" w:val="left" w:leader="none"/>
              <w:tab w:pos="8352" w:val="left" w:leader="dot"/>
            </w:tabs>
            <w:spacing w:line="240" w:lineRule="auto" w:before="126" w:after="0"/>
            <w:ind w:left="432" w:right="289" w:hanging="433"/>
            <w:jc w:val="right"/>
            <w:rPr>
              <w:rFonts w:ascii="Times New Roman" w:eastAsia="Times New Roman"/>
            </w:rPr>
          </w:pPr>
          <w:hyperlink w:history="true" w:anchor="_TOC_250052">
            <w:r>
              <w:rPr/>
              <w:t>环境风险评价</w:t>
              <w:tab/>
            </w:r>
            <w:r>
              <w:rPr>
                <w:rFonts w:ascii="Times New Roman" w:eastAsia="Times New Roman"/>
              </w:rPr>
              <w:t>7</w:t>
            </w:r>
          </w:hyperlink>
        </w:p>
        <w:p>
          <w:pPr>
            <w:pStyle w:val="TOC1"/>
            <w:numPr>
              <w:ilvl w:val="1"/>
              <w:numId w:val="1"/>
            </w:numPr>
            <w:tabs>
              <w:tab w:pos="495" w:val="left" w:leader="none"/>
              <w:tab w:pos="8071" w:val="left" w:leader="dot"/>
            </w:tabs>
            <w:spacing w:line="240" w:lineRule="auto" w:before="124" w:after="0"/>
            <w:ind w:left="996" w:right="289" w:hanging="997"/>
            <w:jc w:val="right"/>
            <w:rPr>
              <w:rFonts w:ascii="Times New Roman" w:eastAsia="Times New Roman"/>
            </w:rPr>
          </w:pPr>
          <w:hyperlink w:history="true" w:anchor="_TOC_250051">
            <w:r>
              <w:rPr/>
              <w:t>风险识别</w:t>
              <w:tab/>
            </w:r>
            <w:r>
              <w:rPr>
                <w:rFonts w:ascii="Times New Roman" w:eastAsia="Times New Roman"/>
              </w:rPr>
              <w:t>7</w:t>
            </w:r>
          </w:hyperlink>
        </w:p>
        <w:p>
          <w:pPr>
            <w:pStyle w:val="TOC1"/>
            <w:numPr>
              <w:ilvl w:val="1"/>
              <w:numId w:val="1"/>
            </w:numPr>
            <w:tabs>
              <w:tab w:pos="495" w:val="left" w:leader="none"/>
              <w:tab w:pos="7929" w:val="left" w:leader="dot"/>
            </w:tabs>
            <w:spacing w:line="240" w:lineRule="auto" w:before="3" w:after="0"/>
            <w:ind w:left="996" w:right="289" w:hanging="997"/>
            <w:jc w:val="right"/>
            <w:rPr>
              <w:rFonts w:ascii="Times New Roman" w:eastAsia="Times New Roman"/>
            </w:rPr>
          </w:pPr>
          <w:hyperlink w:history="true" w:anchor="_TOC_250050">
            <w:r>
              <w:rPr/>
              <w:t>环境风险目标的确定</w:t>
              <w:tab/>
            </w:r>
            <w:r>
              <w:rPr>
                <w:rFonts w:ascii="Times New Roman" w:eastAsia="Times New Roman"/>
              </w:rPr>
              <w:t>27</w:t>
            </w:r>
          </w:hyperlink>
        </w:p>
        <w:p>
          <w:pPr>
            <w:pStyle w:val="TOC1"/>
            <w:numPr>
              <w:ilvl w:val="1"/>
              <w:numId w:val="1"/>
            </w:numPr>
            <w:tabs>
              <w:tab w:pos="495" w:val="left" w:leader="none"/>
              <w:tab w:pos="7929" w:val="left" w:leader="dot"/>
            </w:tabs>
            <w:spacing w:line="240" w:lineRule="auto" w:before="4" w:after="0"/>
            <w:ind w:left="996" w:right="289" w:hanging="997"/>
            <w:jc w:val="right"/>
            <w:rPr>
              <w:rFonts w:ascii="Times New Roman" w:eastAsia="Times New Roman"/>
            </w:rPr>
          </w:pPr>
          <w:hyperlink w:history="true" w:anchor="_TOC_250049">
            <w:r>
              <w:rPr/>
              <w:t>突发环境事件情景分析</w:t>
              <w:tab/>
            </w:r>
            <w:r>
              <w:rPr>
                <w:rFonts w:ascii="Times New Roman" w:eastAsia="Times New Roman"/>
              </w:rPr>
              <w:t>27</w:t>
            </w:r>
          </w:hyperlink>
        </w:p>
        <w:p>
          <w:pPr>
            <w:pStyle w:val="TOC1"/>
            <w:numPr>
              <w:ilvl w:val="1"/>
              <w:numId w:val="1"/>
            </w:numPr>
            <w:tabs>
              <w:tab w:pos="495" w:val="left" w:leader="none"/>
              <w:tab w:pos="7929" w:val="left" w:leader="dot"/>
            </w:tabs>
            <w:spacing w:line="240" w:lineRule="auto" w:before="6" w:after="0"/>
            <w:ind w:left="996" w:right="289" w:hanging="997"/>
            <w:jc w:val="right"/>
            <w:rPr>
              <w:rFonts w:ascii="Times New Roman" w:eastAsia="Times New Roman"/>
            </w:rPr>
          </w:pPr>
          <w:hyperlink w:history="true" w:anchor="_TOC_250048">
            <w:r>
              <w:rPr/>
              <w:t>突发环境事件情景源强分析</w:t>
              <w:tab/>
            </w:r>
            <w:r>
              <w:rPr>
                <w:rFonts w:ascii="Times New Roman" w:eastAsia="Times New Roman"/>
              </w:rPr>
              <w:t>28</w:t>
            </w:r>
          </w:hyperlink>
        </w:p>
        <w:p>
          <w:pPr>
            <w:pStyle w:val="TOC1"/>
            <w:numPr>
              <w:ilvl w:val="1"/>
              <w:numId w:val="1"/>
            </w:numPr>
            <w:tabs>
              <w:tab w:pos="495" w:val="left" w:leader="none"/>
              <w:tab w:pos="7929" w:val="left" w:leader="dot"/>
            </w:tabs>
            <w:spacing w:line="240" w:lineRule="auto" w:before="4" w:after="0"/>
            <w:ind w:left="996" w:right="289" w:hanging="997"/>
            <w:jc w:val="right"/>
            <w:rPr>
              <w:rFonts w:ascii="Times New Roman" w:eastAsia="Times New Roman"/>
            </w:rPr>
          </w:pPr>
          <w:hyperlink w:history="true" w:anchor="_TOC_250047">
            <w:r>
              <w:rPr/>
              <w:t>环境风险影响分析</w:t>
              <w:tab/>
            </w:r>
            <w:r>
              <w:rPr>
                <w:rFonts w:ascii="Times New Roman" w:eastAsia="Times New Roman"/>
              </w:rPr>
              <w:t>29</w:t>
            </w:r>
          </w:hyperlink>
        </w:p>
        <w:p>
          <w:pPr>
            <w:pStyle w:val="TOC1"/>
            <w:numPr>
              <w:ilvl w:val="1"/>
              <w:numId w:val="1"/>
            </w:numPr>
            <w:tabs>
              <w:tab w:pos="495" w:val="left" w:leader="none"/>
              <w:tab w:pos="7929" w:val="left" w:leader="dot"/>
            </w:tabs>
            <w:spacing w:line="240" w:lineRule="auto" w:before="3" w:after="0"/>
            <w:ind w:left="996" w:right="289" w:hanging="997"/>
            <w:jc w:val="right"/>
            <w:rPr>
              <w:rFonts w:ascii="Times New Roman" w:eastAsia="Times New Roman"/>
            </w:rPr>
          </w:pPr>
          <w:hyperlink w:history="true" w:anchor="_TOC_250046">
            <w:r>
              <w:rPr/>
              <w:t>风险评价结论</w:t>
              <w:tab/>
            </w:r>
            <w:r>
              <w:rPr>
                <w:rFonts w:ascii="Times New Roman" w:eastAsia="Times New Roman"/>
              </w:rPr>
              <w:t>30</w:t>
            </w:r>
          </w:hyperlink>
        </w:p>
        <w:p>
          <w:pPr>
            <w:pStyle w:val="TOC1"/>
            <w:numPr>
              <w:ilvl w:val="0"/>
              <w:numId w:val="1"/>
            </w:numPr>
            <w:tabs>
              <w:tab w:pos="212" w:val="left" w:leader="none"/>
              <w:tab w:pos="8210" w:val="left" w:leader="dot"/>
            </w:tabs>
            <w:spacing w:line="240" w:lineRule="auto" w:before="126" w:after="0"/>
            <w:ind w:left="432" w:right="289" w:hanging="433"/>
            <w:jc w:val="right"/>
            <w:rPr>
              <w:rFonts w:ascii="Times New Roman" w:eastAsia="Times New Roman"/>
            </w:rPr>
          </w:pPr>
          <w:hyperlink w:history="true" w:anchor="_TOC_250045">
            <w:r>
              <w:rPr/>
              <w:t>应急组织机构及职责</w:t>
              <w:tab/>
            </w:r>
            <w:r>
              <w:rPr>
                <w:rFonts w:ascii="Times New Roman" w:eastAsia="Times New Roman"/>
              </w:rPr>
              <w:t>30</w:t>
            </w:r>
          </w:hyperlink>
        </w:p>
        <w:p>
          <w:pPr>
            <w:pStyle w:val="TOC1"/>
            <w:numPr>
              <w:ilvl w:val="1"/>
              <w:numId w:val="1"/>
            </w:numPr>
            <w:tabs>
              <w:tab w:pos="495" w:val="left" w:leader="none"/>
              <w:tab w:pos="7929" w:val="left" w:leader="dot"/>
            </w:tabs>
            <w:spacing w:line="240" w:lineRule="auto" w:before="124" w:after="0"/>
            <w:ind w:left="996" w:right="289" w:hanging="997"/>
            <w:jc w:val="right"/>
            <w:rPr>
              <w:rFonts w:ascii="Times New Roman" w:eastAsia="Times New Roman"/>
            </w:rPr>
          </w:pPr>
          <w:hyperlink w:history="true" w:anchor="_TOC_250044">
            <w:r>
              <w:rPr/>
              <w:t>应急组织机构</w:t>
              <w:tab/>
            </w:r>
            <w:r>
              <w:rPr>
                <w:rFonts w:ascii="Times New Roman" w:eastAsia="Times New Roman"/>
              </w:rPr>
              <w:t>31</w:t>
            </w:r>
          </w:hyperlink>
        </w:p>
        <w:p>
          <w:pPr>
            <w:pStyle w:val="TOC1"/>
            <w:numPr>
              <w:ilvl w:val="1"/>
              <w:numId w:val="1"/>
            </w:numPr>
            <w:tabs>
              <w:tab w:pos="565" w:val="left" w:leader="none"/>
              <w:tab w:pos="7929" w:val="left" w:leader="dot"/>
            </w:tabs>
            <w:spacing w:line="240" w:lineRule="auto" w:before="3" w:after="0"/>
            <w:ind w:left="1066" w:right="289" w:hanging="1067"/>
            <w:jc w:val="right"/>
            <w:rPr>
              <w:rFonts w:ascii="Times New Roman" w:eastAsia="Times New Roman"/>
            </w:rPr>
          </w:pPr>
          <w:hyperlink w:history="true" w:anchor="_TOC_250043">
            <w:r>
              <w:rPr/>
              <w:t>指挥机构及职责</w:t>
              <w:tab/>
            </w:r>
            <w:r>
              <w:rPr>
                <w:rFonts w:ascii="Times New Roman" w:eastAsia="Times New Roman"/>
              </w:rPr>
              <w:t>31</w:t>
            </w:r>
          </w:hyperlink>
        </w:p>
        <w:p>
          <w:pPr>
            <w:pStyle w:val="TOC1"/>
            <w:numPr>
              <w:ilvl w:val="0"/>
              <w:numId w:val="1"/>
            </w:numPr>
            <w:tabs>
              <w:tab w:pos="212" w:val="left" w:leader="none"/>
              <w:tab w:pos="8210" w:val="left" w:leader="dot"/>
            </w:tabs>
            <w:spacing w:line="240" w:lineRule="auto" w:before="127" w:after="0"/>
            <w:ind w:left="432" w:right="289" w:hanging="433"/>
            <w:jc w:val="right"/>
            <w:rPr>
              <w:rFonts w:ascii="Times New Roman" w:eastAsia="Times New Roman"/>
            </w:rPr>
          </w:pPr>
          <w:hyperlink w:history="true" w:anchor="_TOC_250042">
            <w:r>
              <w:rPr/>
              <w:t>预防与预警机制</w:t>
              <w:tab/>
            </w:r>
            <w:r>
              <w:rPr>
                <w:rFonts w:ascii="Times New Roman" w:eastAsia="Times New Roman"/>
              </w:rPr>
              <w:t>35</w:t>
            </w:r>
          </w:hyperlink>
        </w:p>
        <w:p>
          <w:pPr>
            <w:pStyle w:val="TOC1"/>
            <w:numPr>
              <w:ilvl w:val="1"/>
              <w:numId w:val="1"/>
            </w:numPr>
            <w:tabs>
              <w:tab w:pos="565" w:val="left" w:leader="none"/>
              <w:tab w:pos="7929" w:val="left" w:leader="dot"/>
            </w:tabs>
            <w:spacing w:line="240" w:lineRule="auto" w:before="123" w:after="0"/>
            <w:ind w:left="1066" w:right="289" w:hanging="1067"/>
            <w:jc w:val="right"/>
            <w:rPr>
              <w:rFonts w:ascii="Times New Roman" w:eastAsia="Times New Roman"/>
            </w:rPr>
          </w:pPr>
          <w:hyperlink w:history="true" w:anchor="_TOC_250041">
            <w:r>
              <w:rPr/>
              <w:t>环境风险源监控</w:t>
              <w:tab/>
            </w:r>
            <w:r>
              <w:rPr>
                <w:rFonts w:ascii="Times New Roman" w:eastAsia="Times New Roman"/>
              </w:rPr>
              <w:t>35</w:t>
            </w:r>
          </w:hyperlink>
        </w:p>
        <w:p>
          <w:pPr>
            <w:pStyle w:val="TOC1"/>
            <w:numPr>
              <w:ilvl w:val="1"/>
              <w:numId w:val="1"/>
            </w:numPr>
            <w:tabs>
              <w:tab w:pos="565" w:val="left" w:leader="none"/>
              <w:tab w:pos="7929" w:val="left" w:leader="dot"/>
            </w:tabs>
            <w:spacing w:line="240" w:lineRule="auto" w:before="4" w:after="0"/>
            <w:ind w:left="1066" w:right="289" w:hanging="1067"/>
            <w:jc w:val="right"/>
            <w:rPr>
              <w:rFonts w:ascii="Times New Roman" w:eastAsia="Times New Roman"/>
            </w:rPr>
          </w:pPr>
          <w:hyperlink w:history="true" w:anchor="_TOC_250040">
            <w:r>
              <w:rPr/>
              <w:t>预防措施</w:t>
              <w:tab/>
            </w:r>
            <w:r>
              <w:rPr>
                <w:rFonts w:ascii="Times New Roman" w:eastAsia="Times New Roman"/>
              </w:rPr>
              <w:t>35</w:t>
            </w:r>
          </w:hyperlink>
        </w:p>
        <w:p>
          <w:pPr>
            <w:pStyle w:val="TOC1"/>
            <w:numPr>
              <w:ilvl w:val="1"/>
              <w:numId w:val="1"/>
            </w:numPr>
            <w:tabs>
              <w:tab w:pos="565" w:val="left" w:leader="none"/>
              <w:tab w:pos="7929" w:val="left" w:leader="dot"/>
            </w:tabs>
            <w:spacing w:line="240" w:lineRule="auto" w:before="4" w:after="0"/>
            <w:ind w:left="1066" w:right="289" w:hanging="1067"/>
            <w:jc w:val="right"/>
            <w:rPr>
              <w:rFonts w:ascii="Times New Roman" w:eastAsia="Times New Roman"/>
            </w:rPr>
          </w:pPr>
          <w:hyperlink w:history="true" w:anchor="_TOC_250039">
            <w:r>
              <w:rPr/>
              <w:t>预警机制</w:t>
              <w:tab/>
            </w:r>
            <w:r>
              <w:rPr>
                <w:rFonts w:ascii="Times New Roman" w:eastAsia="Times New Roman"/>
              </w:rPr>
              <w:t>36</w:t>
            </w:r>
          </w:hyperlink>
        </w:p>
        <w:p>
          <w:pPr>
            <w:pStyle w:val="TOC1"/>
            <w:numPr>
              <w:ilvl w:val="1"/>
              <w:numId w:val="1"/>
            </w:numPr>
            <w:tabs>
              <w:tab w:pos="495" w:val="left" w:leader="none"/>
              <w:tab w:pos="7929" w:val="left" w:leader="dot"/>
            </w:tabs>
            <w:spacing w:line="240" w:lineRule="auto" w:before="6" w:after="0"/>
            <w:ind w:left="996" w:right="289" w:hanging="997"/>
            <w:jc w:val="right"/>
            <w:rPr>
              <w:rFonts w:ascii="Times New Roman" w:eastAsia="Times New Roman"/>
            </w:rPr>
          </w:pPr>
          <w:hyperlink w:history="true" w:anchor="_TOC_250038">
            <w:r>
              <w:rPr/>
              <w:t>预警行动</w:t>
              <w:tab/>
            </w:r>
            <w:r>
              <w:rPr>
                <w:rFonts w:ascii="Times New Roman" w:eastAsia="Times New Roman"/>
              </w:rPr>
              <w:t>37</w:t>
            </w:r>
          </w:hyperlink>
        </w:p>
        <w:p>
          <w:pPr>
            <w:pStyle w:val="TOC1"/>
            <w:numPr>
              <w:ilvl w:val="1"/>
              <w:numId w:val="1"/>
            </w:numPr>
            <w:tabs>
              <w:tab w:pos="495" w:val="left" w:leader="none"/>
              <w:tab w:pos="7929" w:val="left" w:leader="dot"/>
            </w:tabs>
            <w:spacing w:line="240" w:lineRule="auto" w:before="3" w:after="0"/>
            <w:ind w:left="996" w:right="289" w:hanging="997"/>
            <w:jc w:val="right"/>
            <w:rPr>
              <w:rFonts w:ascii="Times New Roman" w:eastAsia="Times New Roman"/>
            </w:rPr>
          </w:pPr>
          <w:hyperlink w:history="true" w:anchor="_TOC_250037">
            <w:r>
              <w:rPr/>
              <w:t>事后处理</w:t>
              <w:tab/>
            </w:r>
            <w:r>
              <w:rPr>
                <w:rFonts w:ascii="Times New Roman" w:eastAsia="Times New Roman"/>
              </w:rPr>
              <w:t>38</w:t>
            </w:r>
          </w:hyperlink>
        </w:p>
        <w:p>
          <w:pPr>
            <w:pStyle w:val="TOC1"/>
            <w:numPr>
              <w:ilvl w:val="1"/>
              <w:numId w:val="1"/>
            </w:numPr>
            <w:tabs>
              <w:tab w:pos="495" w:val="left" w:leader="none"/>
              <w:tab w:pos="7929" w:val="left" w:leader="dot"/>
            </w:tabs>
            <w:spacing w:line="240" w:lineRule="auto" w:before="4" w:after="84"/>
            <w:ind w:left="996" w:right="289" w:hanging="997"/>
            <w:jc w:val="right"/>
            <w:rPr>
              <w:rFonts w:ascii="Times New Roman" w:eastAsia="Times New Roman"/>
            </w:rPr>
          </w:pPr>
          <w:hyperlink w:history="true" w:anchor="_TOC_250036">
            <w:r>
              <w:rPr/>
              <w:t>报警、通讯联络方式</w:t>
              <w:tab/>
            </w:r>
            <w:r>
              <w:rPr>
                <w:rFonts w:ascii="Times New Roman" w:eastAsia="Times New Roman"/>
              </w:rPr>
              <w:t>38</w:t>
            </w:r>
          </w:hyperlink>
        </w:p>
        <w:p>
          <w:pPr>
            <w:pStyle w:val="TOC1"/>
            <w:numPr>
              <w:ilvl w:val="1"/>
              <w:numId w:val="1"/>
            </w:numPr>
            <w:tabs>
              <w:tab w:pos="565" w:val="left" w:leader="none"/>
              <w:tab w:pos="8211" w:val="right" w:leader="dot"/>
            </w:tabs>
            <w:spacing w:line="240" w:lineRule="auto" w:before="104" w:after="0"/>
            <w:ind w:left="1066" w:right="289" w:hanging="1067"/>
            <w:jc w:val="right"/>
            <w:rPr>
              <w:rFonts w:ascii="Times New Roman" w:eastAsia="Times New Roman"/>
            </w:rPr>
          </w:pPr>
          <w:hyperlink w:history="true" w:anchor="_TOC_250035">
            <w:r>
              <w:rPr/>
              <w:t>监测预警</w:t>
              <w:tab/>
            </w:r>
            <w:r>
              <w:rPr>
                <w:rFonts w:ascii="Times New Roman" w:eastAsia="Times New Roman"/>
              </w:rPr>
              <w:t>39</w:t>
            </w:r>
          </w:hyperlink>
        </w:p>
        <w:p>
          <w:pPr>
            <w:pStyle w:val="TOC1"/>
            <w:numPr>
              <w:ilvl w:val="0"/>
              <w:numId w:val="1"/>
            </w:numPr>
            <w:tabs>
              <w:tab w:pos="212" w:val="left" w:leader="none"/>
              <w:tab w:pos="8492" w:val="right" w:leader="dot"/>
            </w:tabs>
            <w:spacing w:line="240" w:lineRule="auto" w:before="124" w:after="0"/>
            <w:ind w:left="432" w:right="289" w:hanging="433"/>
            <w:jc w:val="right"/>
            <w:rPr>
              <w:rFonts w:ascii="Times New Roman" w:eastAsia="Times New Roman"/>
            </w:rPr>
          </w:pPr>
          <w:hyperlink w:history="true" w:anchor="_TOC_250034">
            <w:r>
              <w:rPr/>
              <w:t>信息报告与发布</w:t>
              <w:tab/>
            </w:r>
            <w:r>
              <w:rPr>
                <w:rFonts w:ascii="Times New Roman" w:eastAsia="Times New Roman"/>
              </w:rPr>
              <w:t>39</w:t>
            </w:r>
          </w:hyperlink>
        </w:p>
        <w:p>
          <w:pPr>
            <w:pStyle w:val="TOC1"/>
            <w:numPr>
              <w:ilvl w:val="1"/>
              <w:numId w:val="1"/>
            </w:numPr>
            <w:tabs>
              <w:tab w:pos="495" w:val="left" w:leader="none"/>
              <w:tab w:pos="8211" w:val="right" w:leader="dot"/>
            </w:tabs>
            <w:spacing w:line="240" w:lineRule="auto" w:before="124" w:after="0"/>
            <w:ind w:left="996" w:right="289" w:hanging="997"/>
            <w:jc w:val="right"/>
            <w:rPr>
              <w:rFonts w:ascii="Times New Roman" w:eastAsia="Times New Roman"/>
            </w:rPr>
          </w:pPr>
          <w:hyperlink w:history="true" w:anchor="_TOC_250033">
            <w:r>
              <w:rPr/>
              <w:t>内部报告</w:t>
              <w:tab/>
            </w:r>
            <w:r>
              <w:rPr>
                <w:rFonts w:ascii="Times New Roman" w:eastAsia="Times New Roman"/>
              </w:rPr>
              <w:t>39</w:t>
            </w:r>
          </w:hyperlink>
        </w:p>
        <w:p>
          <w:pPr>
            <w:pStyle w:val="TOC1"/>
            <w:numPr>
              <w:ilvl w:val="1"/>
              <w:numId w:val="1"/>
            </w:numPr>
            <w:tabs>
              <w:tab w:pos="495" w:val="left" w:leader="none"/>
              <w:tab w:pos="8211" w:val="right" w:leader="dot"/>
            </w:tabs>
            <w:spacing w:line="240" w:lineRule="auto" w:before="6" w:after="0"/>
            <w:ind w:left="996" w:right="289" w:hanging="997"/>
            <w:jc w:val="right"/>
            <w:rPr>
              <w:rFonts w:ascii="Times New Roman" w:eastAsia="Times New Roman"/>
            </w:rPr>
          </w:pPr>
          <w:hyperlink w:history="true" w:anchor="_TOC_250032">
            <w:r>
              <w:rPr/>
              <w:t>突发环境事件报告时限和程序</w:t>
              <w:tab/>
            </w:r>
            <w:r>
              <w:rPr>
                <w:rFonts w:ascii="Times New Roman" w:eastAsia="Times New Roman"/>
              </w:rPr>
              <w:t>39</w:t>
            </w:r>
          </w:hyperlink>
        </w:p>
        <w:p>
          <w:pPr>
            <w:pStyle w:val="TOC1"/>
            <w:numPr>
              <w:ilvl w:val="1"/>
              <w:numId w:val="1"/>
            </w:numPr>
            <w:tabs>
              <w:tab w:pos="495" w:val="left" w:leader="none"/>
              <w:tab w:pos="8211" w:val="right" w:leader="dot"/>
            </w:tabs>
            <w:spacing w:line="240" w:lineRule="auto" w:before="3" w:after="0"/>
            <w:ind w:left="996" w:right="289" w:hanging="997"/>
            <w:jc w:val="right"/>
            <w:rPr>
              <w:rFonts w:ascii="Times New Roman" w:eastAsia="Times New Roman"/>
            </w:rPr>
          </w:pPr>
          <w:hyperlink w:history="true" w:anchor="_TOC_250031">
            <w:r>
              <w:rPr/>
              <w:t>信息上报</w:t>
              <w:tab/>
            </w:r>
            <w:r>
              <w:rPr>
                <w:rFonts w:ascii="Times New Roman" w:eastAsia="Times New Roman"/>
              </w:rPr>
              <w:t>40</w:t>
            </w:r>
          </w:hyperlink>
        </w:p>
        <w:p>
          <w:pPr>
            <w:pStyle w:val="TOC1"/>
            <w:numPr>
              <w:ilvl w:val="1"/>
              <w:numId w:val="1"/>
            </w:numPr>
            <w:tabs>
              <w:tab w:pos="495" w:val="left" w:leader="none"/>
              <w:tab w:pos="8211" w:val="right" w:leader="dot"/>
            </w:tabs>
            <w:spacing w:line="240" w:lineRule="auto" w:before="4" w:after="0"/>
            <w:ind w:left="996" w:right="289" w:hanging="997"/>
            <w:jc w:val="right"/>
            <w:rPr>
              <w:rFonts w:ascii="Times New Roman" w:eastAsia="Times New Roman"/>
            </w:rPr>
          </w:pPr>
          <w:hyperlink w:history="true" w:anchor="_TOC_250030">
            <w:r>
              <w:rPr/>
              <w:t>信息通报</w:t>
              <w:tab/>
            </w:r>
            <w:r>
              <w:rPr>
                <w:rFonts w:ascii="Times New Roman" w:eastAsia="Times New Roman"/>
              </w:rPr>
              <w:t>42</w:t>
            </w:r>
          </w:hyperlink>
        </w:p>
        <w:p>
          <w:pPr>
            <w:pStyle w:val="TOC1"/>
            <w:numPr>
              <w:ilvl w:val="1"/>
              <w:numId w:val="1"/>
            </w:numPr>
            <w:tabs>
              <w:tab w:pos="495" w:val="left" w:leader="none"/>
              <w:tab w:pos="8211" w:val="right" w:leader="dot"/>
            </w:tabs>
            <w:spacing w:line="240" w:lineRule="auto" w:before="6" w:after="0"/>
            <w:ind w:left="996" w:right="289" w:hanging="997"/>
            <w:jc w:val="right"/>
            <w:rPr>
              <w:rFonts w:ascii="Times New Roman" w:eastAsia="Times New Roman"/>
            </w:rPr>
          </w:pPr>
          <w:hyperlink w:history="true" w:anchor="_TOC_250029">
            <w:r>
              <w:rPr/>
              <w:t>信息公开</w:t>
              <w:tab/>
            </w:r>
            <w:r>
              <w:rPr>
                <w:rFonts w:ascii="Times New Roman" w:eastAsia="Times New Roman"/>
              </w:rPr>
              <w:t>42</w:t>
            </w:r>
          </w:hyperlink>
        </w:p>
        <w:p>
          <w:pPr>
            <w:pStyle w:val="TOC1"/>
            <w:numPr>
              <w:ilvl w:val="0"/>
              <w:numId w:val="1"/>
            </w:numPr>
            <w:tabs>
              <w:tab w:pos="212" w:val="left" w:leader="none"/>
              <w:tab w:pos="8492" w:val="right" w:leader="dot"/>
            </w:tabs>
            <w:spacing w:line="240" w:lineRule="auto" w:before="124" w:after="0"/>
            <w:ind w:left="432" w:right="289" w:hanging="433"/>
            <w:jc w:val="right"/>
            <w:rPr>
              <w:rFonts w:ascii="Times New Roman" w:eastAsia="Times New Roman"/>
            </w:rPr>
          </w:pPr>
          <w:hyperlink w:history="true" w:anchor="_TOC_250028">
            <w:r>
              <w:rPr/>
              <w:t>应急监测</w:t>
              <w:tab/>
            </w:r>
            <w:r>
              <w:rPr>
                <w:rFonts w:ascii="Times New Roman" w:eastAsia="Times New Roman"/>
              </w:rPr>
              <w:t>43</w:t>
            </w:r>
          </w:hyperlink>
        </w:p>
        <w:p>
          <w:pPr>
            <w:pStyle w:val="TOC1"/>
            <w:numPr>
              <w:ilvl w:val="1"/>
              <w:numId w:val="1"/>
            </w:numPr>
            <w:tabs>
              <w:tab w:pos="495" w:val="left" w:leader="none"/>
              <w:tab w:pos="8211" w:val="right" w:leader="dot"/>
            </w:tabs>
            <w:spacing w:line="240" w:lineRule="auto" w:before="123" w:after="0"/>
            <w:ind w:left="996" w:right="289" w:hanging="997"/>
            <w:jc w:val="right"/>
            <w:rPr>
              <w:rFonts w:ascii="Times New Roman" w:eastAsia="Times New Roman"/>
            </w:rPr>
          </w:pPr>
          <w:hyperlink w:history="true" w:anchor="_TOC_250027">
            <w:r>
              <w:rPr/>
              <w:t>应急监测方案</w:t>
              <w:tab/>
            </w:r>
            <w:r>
              <w:rPr>
                <w:rFonts w:ascii="Times New Roman" w:eastAsia="Times New Roman"/>
              </w:rPr>
              <w:t>43</w:t>
            </w:r>
          </w:hyperlink>
        </w:p>
        <w:p>
          <w:pPr>
            <w:pStyle w:val="TOC1"/>
            <w:numPr>
              <w:ilvl w:val="1"/>
              <w:numId w:val="1"/>
            </w:numPr>
            <w:tabs>
              <w:tab w:pos="495" w:val="left" w:leader="none"/>
              <w:tab w:pos="8211" w:val="right" w:leader="dot"/>
            </w:tabs>
            <w:spacing w:line="240" w:lineRule="auto" w:before="4" w:after="0"/>
            <w:ind w:left="996" w:right="289" w:hanging="997"/>
            <w:jc w:val="right"/>
            <w:rPr>
              <w:rFonts w:ascii="Times New Roman" w:eastAsia="Times New Roman"/>
            </w:rPr>
          </w:pPr>
          <w:hyperlink w:history="true" w:anchor="_TOC_250026">
            <w:r>
              <w:rPr/>
              <w:t>可能受影响区域的监测布点</w:t>
              <w:tab/>
            </w:r>
            <w:r>
              <w:rPr>
                <w:rFonts w:ascii="Times New Roman" w:eastAsia="Times New Roman"/>
              </w:rPr>
              <w:t>43</w:t>
            </w:r>
          </w:hyperlink>
        </w:p>
        <w:p>
          <w:pPr>
            <w:pStyle w:val="TOC1"/>
            <w:numPr>
              <w:ilvl w:val="1"/>
              <w:numId w:val="1"/>
            </w:numPr>
            <w:tabs>
              <w:tab w:pos="495" w:val="left" w:leader="none"/>
              <w:tab w:pos="8211" w:val="right" w:leader="dot"/>
            </w:tabs>
            <w:spacing w:line="240" w:lineRule="auto" w:before="6" w:after="0"/>
            <w:ind w:left="996" w:right="289" w:hanging="997"/>
            <w:jc w:val="right"/>
            <w:rPr>
              <w:rFonts w:ascii="Times New Roman" w:eastAsia="Times New Roman"/>
            </w:rPr>
          </w:pPr>
          <w:hyperlink w:history="true" w:anchor="_TOC_250025">
            <w:r>
              <w:rPr/>
              <w:t>监测人员的安全防护措施</w:t>
              <w:tab/>
            </w:r>
            <w:r>
              <w:rPr>
                <w:rFonts w:ascii="Times New Roman" w:eastAsia="Times New Roman"/>
              </w:rPr>
              <w:t>47</w:t>
            </w:r>
          </w:hyperlink>
        </w:p>
        <w:p>
          <w:pPr>
            <w:pStyle w:val="TOC1"/>
            <w:numPr>
              <w:ilvl w:val="0"/>
              <w:numId w:val="1"/>
            </w:numPr>
            <w:tabs>
              <w:tab w:pos="212" w:val="left" w:leader="none"/>
              <w:tab w:pos="8492" w:val="right" w:leader="dot"/>
            </w:tabs>
            <w:spacing w:line="240" w:lineRule="auto" w:before="124" w:after="0"/>
            <w:ind w:left="432" w:right="289" w:hanging="433"/>
            <w:jc w:val="right"/>
            <w:rPr>
              <w:rFonts w:ascii="Times New Roman" w:eastAsia="Times New Roman"/>
            </w:rPr>
          </w:pPr>
          <w:hyperlink w:history="true" w:anchor="_TOC_250024">
            <w:r>
              <w:rPr/>
              <w:t>应急响应</w:t>
              <w:tab/>
            </w:r>
            <w:r>
              <w:rPr>
                <w:rFonts w:ascii="Times New Roman" w:eastAsia="Times New Roman"/>
              </w:rPr>
              <w:t>47</w:t>
            </w:r>
          </w:hyperlink>
        </w:p>
        <w:p>
          <w:pPr>
            <w:pStyle w:val="TOC1"/>
            <w:numPr>
              <w:ilvl w:val="1"/>
              <w:numId w:val="1"/>
            </w:numPr>
            <w:tabs>
              <w:tab w:pos="495" w:val="left" w:leader="none"/>
              <w:tab w:pos="8211" w:val="right" w:leader="dot"/>
            </w:tabs>
            <w:spacing w:line="240" w:lineRule="auto" w:before="123" w:after="0"/>
            <w:ind w:left="996" w:right="289" w:hanging="997"/>
            <w:jc w:val="right"/>
            <w:rPr>
              <w:rFonts w:ascii="Times New Roman" w:eastAsia="Times New Roman"/>
            </w:rPr>
          </w:pPr>
          <w:hyperlink w:history="true" w:anchor="_TOC_250023">
            <w:r>
              <w:rPr/>
              <w:t>分级响应</w:t>
              <w:tab/>
            </w:r>
            <w:r>
              <w:rPr>
                <w:rFonts w:ascii="Times New Roman" w:eastAsia="Times New Roman"/>
              </w:rPr>
              <w:t>47</w:t>
            </w:r>
          </w:hyperlink>
        </w:p>
        <w:p>
          <w:pPr>
            <w:pStyle w:val="TOC1"/>
            <w:numPr>
              <w:ilvl w:val="1"/>
              <w:numId w:val="1"/>
            </w:numPr>
            <w:tabs>
              <w:tab w:pos="495" w:val="left" w:leader="none"/>
              <w:tab w:pos="8211" w:val="right" w:leader="dot"/>
            </w:tabs>
            <w:spacing w:line="240" w:lineRule="auto" w:before="6" w:after="0"/>
            <w:ind w:left="996" w:right="289" w:hanging="997"/>
            <w:jc w:val="right"/>
            <w:rPr>
              <w:rFonts w:ascii="Times New Roman" w:eastAsia="Times New Roman"/>
            </w:rPr>
          </w:pPr>
          <w:hyperlink w:history="true" w:anchor="_TOC_250022">
            <w:r>
              <w:rPr/>
              <w:t>响应程序</w:t>
              <w:tab/>
            </w:r>
            <w:r>
              <w:rPr>
                <w:rFonts w:ascii="Times New Roman" w:eastAsia="Times New Roman"/>
              </w:rPr>
              <w:t>48</w:t>
            </w:r>
          </w:hyperlink>
        </w:p>
        <w:p>
          <w:pPr>
            <w:pStyle w:val="TOC1"/>
            <w:numPr>
              <w:ilvl w:val="1"/>
              <w:numId w:val="1"/>
            </w:numPr>
            <w:tabs>
              <w:tab w:pos="495" w:val="left" w:leader="none"/>
              <w:tab w:pos="8211" w:val="right" w:leader="dot"/>
            </w:tabs>
            <w:spacing w:line="240" w:lineRule="auto" w:before="4" w:after="0"/>
            <w:ind w:left="996" w:right="289" w:hanging="997"/>
            <w:jc w:val="right"/>
            <w:rPr>
              <w:rFonts w:ascii="Times New Roman" w:eastAsia="Times New Roman"/>
            </w:rPr>
          </w:pPr>
          <w:hyperlink w:history="true" w:anchor="_TOC_250021">
            <w:r>
              <w:rPr/>
              <w:t>应急结束</w:t>
              <w:tab/>
            </w:r>
            <w:r>
              <w:rPr>
                <w:rFonts w:ascii="Times New Roman" w:eastAsia="Times New Roman"/>
              </w:rPr>
              <w:t>49</w:t>
            </w:r>
          </w:hyperlink>
        </w:p>
        <w:p>
          <w:pPr>
            <w:pStyle w:val="TOC1"/>
            <w:numPr>
              <w:ilvl w:val="0"/>
              <w:numId w:val="1"/>
            </w:numPr>
            <w:tabs>
              <w:tab w:pos="212" w:val="left" w:leader="none"/>
              <w:tab w:pos="8492" w:val="right" w:leader="dot"/>
            </w:tabs>
            <w:spacing w:line="240" w:lineRule="auto" w:before="124" w:after="0"/>
            <w:ind w:left="432" w:right="289" w:hanging="433"/>
            <w:jc w:val="right"/>
            <w:rPr>
              <w:rFonts w:ascii="Times New Roman" w:eastAsia="Times New Roman"/>
            </w:rPr>
          </w:pPr>
          <w:hyperlink w:history="true" w:anchor="_TOC_250020">
            <w:r>
              <w:rPr/>
              <w:t>应急处置</w:t>
              <w:tab/>
            </w:r>
            <w:r>
              <w:rPr>
                <w:rFonts w:ascii="Times New Roman" w:eastAsia="Times New Roman"/>
              </w:rPr>
              <w:t>51</w:t>
            </w:r>
          </w:hyperlink>
        </w:p>
        <w:p>
          <w:pPr>
            <w:pStyle w:val="TOC1"/>
            <w:numPr>
              <w:ilvl w:val="1"/>
              <w:numId w:val="1"/>
            </w:numPr>
            <w:tabs>
              <w:tab w:pos="495" w:val="left" w:leader="none"/>
              <w:tab w:pos="8211" w:val="right" w:leader="dot"/>
            </w:tabs>
            <w:spacing w:line="240" w:lineRule="auto" w:before="126" w:after="0"/>
            <w:ind w:left="996" w:right="289" w:hanging="997"/>
            <w:jc w:val="right"/>
            <w:rPr>
              <w:rFonts w:ascii="Times New Roman" w:eastAsia="Times New Roman"/>
            </w:rPr>
          </w:pPr>
          <w:hyperlink w:history="true" w:anchor="_TOC_250019">
            <w:r>
              <w:rPr/>
              <w:t>应急处置基本原则</w:t>
              <w:tab/>
            </w:r>
            <w:r>
              <w:rPr>
                <w:rFonts w:ascii="Times New Roman" w:eastAsia="Times New Roman"/>
              </w:rPr>
              <w:t>51</w:t>
            </w:r>
          </w:hyperlink>
        </w:p>
        <w:p>
          <w:pPr>
            <w:pStyle w:val="TOC1"/>
            <w:numPr>
              <w:ilvl w:val="1"/>
              <w:numId w:val="1"/>
            </w:numPr>
            <w:tabs>
              <w:tab w:pos="495" w:val="left" w:leader="none"/>
              <w:tab w:pos="8211" w:val="right" w:leader="dot"/>
            </w:tabs>
            <w:spacing w:line="240" w:lineRule="auto" w:before="3" w:after="0"/>
            <w:ind w:left="996" w:right="289" w:hanging="997"/>
            <w:jc w:val="right"/>
            <w:rPr>
              <w:rFonts w:ascii="Times New Roman" w:eastAsia="Times New Roman"/>
            </w:rPr>
          </w:pPr>
          <w:hyperlink w:history="true" w:anchor="_TOC_250018">
            <w:r>
              <w:rPr/>
              <w:t>突发环境事件现场应急处置措施</w:t>
              <w:tab/>
            </w:r>
            <w:r>
              <w:rPr>
                <w:rFonts w:ascii="Times New Roman" w:eastAsia="Times New Roman"/>
              </w:rPr>
              <w:t>51</w:t>
            </w:r>
          </w:hyperlink>
        </w:p>
        <w:p>
          <w:pPr>
            <w:pStyle w:val="TOC1"/>
            <w:numPr>
              <w:ilvl w:val="1"/>
              <w:numId w:val="1"/>
            </w:numPr>
            <w:tabs>
              <w:tab w:pos="495" w:val="left" w:leader="none"/>
              <w:tab w:pos="8211" w:val="right" w:leader="dot"/>
            </w:tabs>
            <w:spacing w:line="240" w:lineRule="auto" w:before="4" w:after="0"/>
            <w:ind w:left="996" w:right="289" w:hanging="997"/>
            <w:jc w:val="right"/>
            <w:rPr>
              <w:rFonts w:ascii="Times New Roman" w:eastAsia="Times New Roman"/>
            </w:rPr>
          </w:pPr>
          <w:hyperlink w:history="true" w:anchor="_TOC_250017">
            <w:r>
              <w:rPr/>
              <w:t>处置注意事项</w:t>
              <w:tab/>
            </w:r>
            <w:r>
              <w:rPr>
                <w:rFonts w:ascii="Times New Roman" w:eastAsia="Times New Roman"/>
              </w:rPr>
              <w:t>56</w:t>
            </w:r>
          </w:hyperlink>
        </w:p>
        <w:p>
          <w:pPr>
            <w:pStyle w:val="TOC1"/>
            <w:numPr>
              <w:ilvl w:val="1"/>
              <w:numId w:val="1"/>
            </w:numPr>
            <w:tabs>
              <w:tab w:pos="495" w:val="left" w:leader="none"/>
              <w:tab w:pos="8211" w:val="right" w:leader="dot"/>
            </w:tabs>
            <w:spacing w:line="240" w:lineRule="auto" w:before="4" w:after="0"/>
            <w:ind w:left="996" w:right="289" w:hanging="997"/>
            <w:jc w:val="right"/>
            <w:rPr>
              <w:rFonts w:ascii="Times New Roman" w:eastAsia="Times New Roman"/>
            </w:rPr>
          </w:pPr>
          <w:r>
            <w:rPr/>
            <w:t>危险区的隔离</w:t>
            <w:tab/>
          </w:r>
          <w:r>
            <w:rPr>
              <w:rFonts w:ascii="Times New Roman" w:eastAsia="Times New Roman"/>
            </w:rPr>
            <w:t>56</w:t>
          </w:r>
        </w:p>
        <w:p>
          <w:pPr>
            <w:pStyle w:val="TOC1"/>
            <w:numPr>
              <w:ilvl w:val="1"/>
              <w:numId w:val="1"/>
            </w:numPr>
            <w:tabs>
              <w:tab w:pos="495" w:val="left" w:leader="none"/>
              <w:tab w:pos="8211" w:val="right" w:leader="dot"/>
            </w:tabs>
            <w:spacing w:line="240" w:lineRule="auto" w:before="6" w:after="0"/>
            <w:ind w:left="996" w:right="289" w:hanging="997"/>
            <w:jc w:val="right"/>
            <w:rPr>
              <w:rFonts w:ascii="Times New Roman" w:eastAsia="Times New Roman"/>
            </w:rPr>
          </w:pPr>
          <w:hyperlink w:history="true" w:anchor="_TOC_250016">
            <w:r>
              <w:rPr/>
              <w:t>事件扩大的措施</w:t>
              <w:tab/>
            </w:r>
            <w:r>
              <w:rPr>
                <w:rFonts w:ascii="Times New Roman" w:eastAsia="Times New Roman"/>
              </w:rPr>
              <w:t>57</w:t>
            </w:r>
          </w:hyperlink>
        </w:p>
        <w:p>
          <w:pPr>
            <w:pStyle w:val="TOC1"/>
            <w:numPr>
              <w:ilvl w:val="1"/>
              <w:numId w:val="1"/>
            </w:numPr>
            <w:tabs>
              <w:tab w:pos="495" w:val="left" w:leader="none"/>
              <w:tab w:pos="8211" w:val="right" w:leader="dot"/>
            </w:tabs>
            <w:spacing w:line="240" w:lineRule="auto" w:before="3" w:after="0"/>
            <w:ind w:left="996" w:right="289" w:hanging="997"/>
            <w:jc w:val="right"/>
            <w:rPr>
              <w:rFonts w:ascii="Times New Roman" w:eastAsia="Times New Roman"/>
            </w:rPr>
          </w:pPr>
          <w:hyperlink w:history="true" w:anchor="_TOC_250015">
            <w:r>
              <w:rPr/>
              <w:t>污染物处置措施</w:t>
              <w:tab/>
            </w:r>
            <w:r>
              <w:rPr>
                <w:rFonts w:ascii="Times New Roman" w:eastAsia="Times New Roman"/>
              </w:rPr>
              <w:t>58</w:t>
            </w:r>
          </w:hyperlink>
        </w:p>
        <w:p>
          <w:pPr>
            <w:pStyle w:val="TOC1"/>
            <w:numPr>
              <w:ilvl w:val="0"/>
              <w:numId w:val="1"/>
            </w:numPr>
            <w:tabs>
              <w:tab w:pos="353" w:val="left" w:leader="none"/>
              <w:tab w:pos="8492" w:val="right" w:leader="dot"/>
            </w:tabs>
            <w:spacing w:line="240" w:lineRule="auto" w:before="124" w:after="0"/>
            <w:ind w:left="574" w:right="289" w:hanging="575"/>
            <w:jc w:val="right"/>
            <w:rPr>
              <w:rFonts w:ascii="Times New Roman" w:eastAsia="Times New Roman"/>
            </w:rPr>
          </w:pPr>
          <w:hyperlink w:history="true" w:anchor="_TOC_250014">
            <w:r>
              <w:rPr/>
              <w:t>应急保障</w:t>
              <w:tab/>
            </w:r>
            <w:r>
              <w:rPr>
                <w:rFonts w:ascii="Times New Roman" w:eastAsia="Times New Roman"/>
              </w:rPr>
              <w:t>58</w:t>
            </w:r>
          </w:hyperlink>
        </w:p>
        <w:p>
          <w:pPr>
            <w:pStyle w:val="TOC1"/>
            <w:numPr>
              <w:ilvl w:val="1"/>
              <w:numId w:val="1"/>
            </w:numPr>
            <w:tabs>
              <w:tab w:pos="637" w:val="left" w:leader="none"/>
              <w:tab w:pos="8211" w:val="right" w:leader="dot"/>
            </w:tabs>
            <w:spacing w:line="240" w:lineRule="auto" w:before="126" w:after="0"/>
            <w:ind w:left="1138" w:right="289" w:hanging="1139"/>
            <w:jc w:val="right"/>
            <w:rPr>
              <w:rFonts w:ascii="Times New Roman" w:eastAsia="Times New Roman"/>
            </w:rPr>
          </w:pPr>
          <w:hyperlink w:history="true" w:anchor="_TOC_250013">
            <w:r>
              <w:rPr/>
              <w:t>应急通讯保障</w:t>
              <w:tab/>
            </w:r>
            <w:r>
              <w:rPr>
                <w:rFonts w:ascii="Times New Roman" w:eastAsia="Times New Roman"/>
              </w:rPr>
              <w:t>58</w:t>
            </w:r>
          </w:hyperlink>
        </w:p>
        <w:p>
          <w:pPr>
            <w:pStyle w:val="TOC1"/>
            <w:numPr>
              <w:ilvl w:val="1"/>
              <w:numId w:val="1"/>
            </w:numPr>
            <w:tabs>
              <w:tab w:pos="637" w:val="left" w:leader="none"/>
              <w:tab w:pos="8211" w:val="right" w:leader="dot"/>
            </w:tabs>
            <w:spacing w:line="240" w:lineRule="auto" w:before="4" w:after="0"/>
            <w:ind w:left="1138" w:right="289" w:hanging="1139"/>
            <w:jc w:val="right"/>
            <w:rPr>
              <w:rFonts w:ascii="Times New Roman" w:eastAsia="Times New Roman"/>
            </w:rPr>
          </w:pPr>
          <w:hyperlink w:history="true" w:anchor="_TOC_250012">
            <w:r>
              <w:rPr/>
              <w:t>应急队伍保障</w:t>
              <w:tab/>
            </w:r>
            <w:r>
              <w:rPr>
                <w:rFonts w:ascii="Times New Roman" w:eastAsia="Times New Roman"/>
              </w:rPr>
              <w:t>58</w:t>
            </w:r>
          </w:hyperlink>
        </w:p>
        <w:p>
          <w:pPr>
            <w:pStyle w:val="TOC1"/>
            <w:numPr>
              <w:ilvl w:val="1"/>
              <w:numId w:val="1"/>
            </w:numPr>
            <w:tabs>
              <w:tab w:pos="637" w:val="left" w:leader="none"/>
              <w:tab w:pos="8211" w:val="right" w:leader="dot"/>
            </w:tabs>
            <w:spacing w:line="240" w:lineRule="auto" w:before="3" w:after="0"/>
            <w:ind w:left="1138" w:right="289" w:hanging="1139"/>
            <w:jc w:val="right"/>
            <w:rPr>
              <w:rFonts w:ascii="Times New Roman" w:eastAsia="Times New Roman"/>
            </w:rPr>
          </w:pPr>
          <w:hyperlink w:history="true" w:anchor="_TOC_250011">
            <w:r>
              <w:rPr/>
              <w:t>应急物资保障</w:t>
              <w:tab/>
            </w:r>
            <w:r>
              <w:rPr>
                <w:rFonts w:ascii="Times New Roman" w:eastAsia="Times New Roman"/>
              </w:rPr>
              <w:t>58</w:t>
            </w:r>
          </w:hyperlink>
        </w:p>
        <w:p>
          <w:pPr>
            <w:pStyle w:val="TOC1"/>
            <w:numPr>
              <w:ilvl w:val="1"/>
              <w:numId w:val="1"/>
            </w:numPr>
            <w:tabs>
              <w:tab w:pos="637" w:val="left" w:leader="none"/>
              <w:tab w:pos="8211" w:val="right" w:leader="dot"/>
            </w:tabs>
            <w:spacing w:line="240" w:lineRule="auto" w:before="7" w:after="0"/>
            <w:ind w:left="1138" w:right="289" w:hanging="1139"/>
            <w:jc w:val="right"/>
            <w:rPr>
              <w:rFonts w:ascii="Times New Roman" w:eastAsia="Times New Roman"/>
            </w:rPr>
          </w:pPr>
          <w:hyperlink w:history="true" w:anchor="_TOC_250010">
            <w:r>
              <w:rPr/>
              <w:t>应急经费保障</w:t>
              <w:tab/>
            </w:r>
            <w:r>
              <w:rPr>
                <w:rFonts w:ascii="Times New Roman" w:eastAsia="Times New Roman"/>
              </w:rPr>
              <w:t>59</w:t>
            </w:r>
          </w:hyperlink>
        </w:p>
        <w:p>
          <w:pPr>
            <w:pStyle w:val="TOC1"/>
            <w:numPr>
              <w:ilvl w:val="1"/>
              <w:numId w:val="1"/>
            </w:numPr>
            <w:tabs>
              <w:tab w:pos="637" w:val="left" w:leader="none"/>
              <w:tab w:pos="8211" w:val="right" w:leader="dot"/>
            </w:tabs>
            <w:spacing w:line="240" w:lineRule="auto" w:before="3" w:after="0"/>
            <w:ind w:left="1138" w:right="289" w:hanging="1139"/>
            <w:jc w:val="right"/>
            <w:rPr>
              <w:rFonts w:ascii="Times New Roman" w:eastAsia="Times New Roman"/>
            </w:rPr>
          </w:pPr>
          <w:hyperlink w:history="true" w:anchor="_TOC_250009">
            <w:r>
              <w:rPr/>
              <w:t>其他保障</w:t>
              <w:tab/>
            </w:r>
            <w:r>
              <w:rPr>
                <w:rFonts w:ascii="Times New Roman" w:eastAsia="Times New Roman"/>
              </w:rPr>
              <w:t>59</w:t>
            </w:r>
          </w:hyperlink>
        </w:p>
        <w:p>
          <w:pPr>
            <w:pStyle w:val="TOC1"/>
            <w:numPr>
              <w:ilvl w:val="0"/>
              <w:numId w:val="1"/>
            </w:numPr>
            <w:tabs>
              <w:tab w:pos="353" w:val="left" w:leader="none"/>
              <w:tab w:pos="8492" w:val="right" w:leader="dot"/>
            </w:tabs>
            <w:spacing w:line="240" w:lineRule="auto" w:before="124" w:after="0"/>
            <w:ind w:left="574" w:right="289" w:hanging="575"/>
            <w:jc w:val="right"/>
            <w:rPr>
              <w:rFonts w:ascii="Times New Roman" w:eastAsia="Times New Roman"/>
            </w:rPr>
          </w:pPr>
          <w:hyperlink w:history="true" w:anchor="_TOC_250008">
            <w:r>
              <w:rPr/>
              <w:t>应急预案管理</w:t>
              <w:tab/>
            </w:r>
            <w:r>
              <w:rPr>
                <w:rFonts w:ascii="Times New Roman" w:eastAsia="Times New Roman"/>
              </w:rPr>
              <w:t>59</w:t>
            </w:r>
          </w:hyperlink>
        </w:p>
        <w:p>
          <w:pPr>
            <w:pStyle w:val="TOC1"/>
            <w:numPr>
              <w:ilvl w:val="1"/>
              <w:numId w:val="1"/>
            </w:numPr>
            <w:tabs>
              <w:tab w:pos="637" w:val="left" w:leader="none"/>
              <w:tab w:pos="8211" w:val="right" w:leader="dot"/>
            </w:tabs>
            <w:spacing w:line="240" w:lineRule="auto" w:before="126" w:after="0"/>
            <w:ind w:left="1138" w:right="289" w:hanging="1139"/>
            <w:jc w:val="right"/>
            <w:rPr>
              <w:rFonts w:ascii="Times New Roman" w:eastAsia="Times New Roman"/>
            </w:rPr>
          </w:pPr>
          <w:hyperlink w:history="true" w:anchor="_TOC_250007">
            <w:r>
              <w:rPr/>
              <w:t>应急预案培训</w:t>
              <w:tab/>
            </w:r>
            <w:r>
              <w:rPr>
                <w:rFonts w:ascii="Times New Roman" w:eastAsia="Times New Roman"/>
              </w:rPr>
              <w:t>60</w:t>
            </w:r>
          </w:hyperlink>
        </w:p>
        <w:p>
          <w:pPr>
            <w:pStyle w:val="TOC1"/>
            <w:numPr>
              <w:ilvl w:val="1"/>
              <w:numId w:val="1"/>
            </w:numPr>
            <w:tabs>
              <w:tab w:pos="706" w:val="left" w:leader="none"/>
              <w:tab w:pos="8211" w:val="right" w:leader="dot"/>
            </w:tabs>
            <w:spacing w:line="240" w:lineRule="auto" w:before="3" w:after="0"/>
            <w:ind w:left="1208" w:right="289" w:hanging="1209"/>
            <w:jc w:val="right"/>
            <w:rPr>
              <w:rFonts w:ascii="Times New Roman" w:eastAsia="Times New Roman"/>
            </w:rPr>
          </w:pPr>
          <w:hyperlink w:history="true" w:anchor="_TOC_250006">
            <w:r>
              <w:rPr/>
              <w:t>应急预案演练</w:t>
              <w:tab/>
            </w:r>
            <w:r>
              <w:rPr>
                <w:rFonts w:ascii="Times New Roman" w:eastAsia="Times New Roman"/>
              </w:rPr>
              <w:t>60</w:t>
            </w:r>
          </w:hyperlink>
        </w:p>
        <w:p>
          <w:pPr>
            <w:pStyle w:val="TOC1"/>
            <w:tabs>
              <w:tab w:pos="8492" w:val="right" w:leader="dot"/>
            </w:tabs>
            <w:spacing w:before="124"/>
            <w:ind w:left="0" w:firstLine="0"/>
            <w:rPr>
              <w:rFonts w:ascii="Times New Roman" w:eastAsia="Times New Roman"/>
            </w:rPr>
          </w:pPr>
          <w:hyperlink w:history="true" w:anchor="_TOC_250005">
            <w:r>
              <w:rPr/>
              <w:t>12</w:t>
            </w:r>
            <w:r>
              <w:rPr>
                <w:spacing w:val="-71"/>
              </w:rPr>
              <w:t> </w:t>
            </w:r>
            <w:r>
              <w:rPr/>
              <w:t>奖惩</w:t>
              <w:tab/>
            </w:r>
            <w:r>
              <w:rPr>
                <w:rFonts w:ascii="Times New Roman" w:eastAsia="Times New Roman"/>
              </w:rPr>
              <w:t>62</w:t>
            </w:r>
          </w:hyperlink>
        </w:p>
        <w:p>
          <w:pPr>
            <w:pStyle w:val="TOC1"/>
            <w:tabs>
              <w:tab w:pos="8211" w:val="right" w:leader="dot"/>
            </w:tabs>
            <w:spacing w:before="124" w:after="20"/>
            <w:ind w:left="0" w:firstLine="0"/>
            <w:rPr>
              <w:rFonts w:ascii="Times New Roman" w:eastAsia="Times New Roman"/>
            </w:rPr>
          </w:pPr>
          <w:hyperlink w:history="true" w:anchor="_TOC_250004">
            <w:r>
              <w:rPr/>
              <w:t>12.1</w:t>
            </w:r>
            <w:r>
              <w:rPr>
                <w:spacing w:val="-71"/>
              </w:rPr>
              <w:t> </w:t>
            </w:r>
            <w:r>
              <w:rPr/>
              <w:t>奖励</w:t>
              <w:tab/>
            </w:r>
            <w:r>
              <w:rPr>
                <w:rFonts w:ascii="Times New Roman" w:eastAsia="Times New Roman"/>
              </w:rPr>
              <w:t>62</w:t>
            </w:r>
          </w:hyperlink>
        </w:p>
        <w:p>
          <w:pPr>
            <w:pStyle w:val="TOC1"/>
            <w:tabs>
              <w:tab w:pos="8211" w:val="right" w:leader="dot"/>
            </w:tabs>
            <w:spacing w:before="104"/>
            <w:ind w:left="0" w:firstLine="0"/>
            <w:rPr>
              <w:rFonts w:ascii="Times New Roman" w:eastAsia="Times New Roman"/>
            </w:rPr>
          </w:pPr>
          <w:hyperlink w:history="true" w:anchor="_TOC_250003">
            <w:r>
              <w:rPr/>
              <w:t>12.2</w:t>
            </w:r>
            <w:r>
              <w:rPr>
                <w:spacing w:val="-71"/>
              </w:rPr>
              <w:t> </w:t>
            </w:r>
            <w:r>
              <w:rPr/>
              <w:t>责任追究</w:t>
              <w:tab/>
            </w:r>
            <w:r>
              <w:rPr>
                <w:rFonts w:ascii="Times New Roman" w:eastAsia="Times New Roman"/>
              </w:rPr>
              <w:t>62</w:t>
            </w:r>
          </w:hyperlink>
        </w:p>
        <w:p>
          <w:pPr>
            <w:pStyle w:val="TOC1"/>
            <w:tabs>
              <w:tab w:pos="8492" w:val="right" w:leader="dot"/>
            </w:tabs>
            <w:spacing w:before="124"/>
            <w:ind w:left="0" w:firstLine="0"/>
            <w:rPr>
              <w:rFonts w:ascii="Times New Roman" w:eastAsia="Times New Roman"/>
            </w:rPr>
          </w:pPr>
          <w:hyperlink w:history="true" w:anchor="_TOC_250002">
            <w:r>
              <w:rPr/>
              <w:t>13</w:t>
            </w:r>
            <w:r>
              <w:rPr>
                <w:spacing w:val="-71"/>
              </w:rPr>
              <w:t> </w:t>
            </w:r>
            <w:r>
              <w:rPr/>
              <w:t>附则</w:t>
              <w:tab/>
            </w:r>
            <w:r>
              <w:rPr>
                <w:rFonts w:ascii="Times New Roman" w:eastAsia="Times New Roman"/>
              </w:rPr>
              <w:t>63</w:t>
            </w:r>
          </w:hyperlink>
        </w:p>
        <w:p>
          <w:pPr>
            <w:pStyle w:val="TOC1"/>
            <w:numPr>
              <w:ilvl w:val="1"/>
              <w:numId w:val="2"/>
            </w:numPr>
            <w:tabs>
              <w:tab w:pos="637" w:val="left" w:leader="none"/>
              <w:tab w:pos="8211" w:val="right" w:leader="dot"/>
            </w:tabs>
            <w:spacing w:line="240" w:lineRule="auto" w:before="124" w:after="0"/>
            <w:ind w:left="1138" w:right="289" w:hanging="1139"/>
            <w:jc w:val="right"/>
            <w:rPr>
              <w:rFonts w:ascii="Times New Roman" w:eastAsia="Times New Roman"/>
            </w:rPr>
          </w:pPr>
          <w:hyperlink w:history="true" w:anchor="_TOC_250001">
            <w:r>
              <w:rPr/>
              <w:t>制定与修订</w:t>
              <w:tab/>
            </w:r>
            <w:r>
              <w:rPr>
                <w:rFonts w:ascii="Times New Roman" w:eastAsia="Times New Roman"/>
              </w:rPr>
              <w:t>63</w:t>
            </w:r>
          </w:hyperlink>
        </w:p>
        <w:p>
          <w:pPr>
            <w:pStyle w:val="TOC1"/>
            <w:numPr>
              <w:ilvl w:val="1"/>
              <w:numId w:val="2"/>
            </w:numPr>
            <w:tabs>
              <w:tab w:pos="637" w:val="left" w:leader="none"/>
              <w:tab w:pos="8211" w:val="right" w:leader="dot"/>
            </w:tabs>
            <w:spacing w:line="240" w:lineRule="auto" w:before="6" w:after="0"/>
            <w:ind w:left="1138" w:right="289" w:hanging="1139"/>
            <w:jc w:val="right"/>
            <w:rPr>
              <w:rFonts w:ascii="Times New Roman" w:eastAsia="Times New Roman"/>
            </w:rPr>
          </w:pPr>
          <w:hyperlink w:history="true" w:anchor="_TOC_250000">
            <w:r>
              <w:rPr/>
              <w:t>应急预案实施</w:t>
              <w:tab/>
            </w:r>
            <w:r>
              <w:rPr>
                <w:rFonts w:ascii="Times New Roman" w:eastAsia="Times New Roman"/>
              </w:rPr>
              <w:t>63</w:t>
            </w:r>
          </w:hyperlink>
        </w:p>
      </w:sdtContent>
    </w:sdt>
    <w:p>
      <w:pPr>
        <w:spacing w:after="0" w:line="240" w:lineRule="auto"/>
        <w:jc w:val="right"/>
        <w:rPr>
          <w:rFonts w:ascii="Times New Roman" w:eastAsia="Times New Roman"/>
        </w:rPr>
        <w:sectPr>
          <w:type w:val="continuous"/>
          <w:pgSz w:w="11910" w:h="16840"/>
          <w:pgMar w:top="1600" w:bottom="1458" w:left="1480" w:right="1420"/>
        </w:sect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before="4"/>
        <w:rPr>
          <w:rFonts w:ascii="Times New Roman"/>
          <w:b/>
          <w:sz w:val="27"/>
        </w:rPr>
      </w:pPr>
    </w:p>
    <w:p>
      <w:pPr>
        <w:spacing w:before="0"/>
        <w:ind w:left="221" w:right="0" w:firstLine="0"/>
        <w:jc w:val="left"/>
        <w:rPr>
          <w:b/>
          <w:sz w:val="28"/>
        </w:rPr>
      </w:pPr>
      <w:r>
        <w:rPr>
          <w:b/>
          <w:sz w:val="28"/>
        </w:rPr>
        <w:t>附件：</w:t>
      </w:r>
    </w:p>
    <w:p>
      <w:pPr>
        <w:spacing w:before="186"/>
        <w:ind w:left="1049" w:right="0" w:firstLine="0"/>
        <w:jc w:val="both"/>
        <w:rPr>
          <w:b/>
          <w:sz w:val="28"/>
        </w:rPr>
      </w:pPr>
      <w:r>
        <w:rPr>
          <w:b/>
          <w:sz w:val="28"/>
        </w:rPr>
        <w:t>附图 1： 地理位置图</w:t>
      </w:r>
    </w:p>
    <w:p>
      <w:pPr>
        <w:spacing w:line="364" w:lineRule="auto" w:before="186"/>
        <w:ind w:left="1064" w:right="3230" w:firstLine="0"/>
        <w:jc w:val="both"/>
        <w:rPr>
          <w:b/>
          <w:sz w:val="28"/>
        </w:rPr>
      </w:pPr>
      <w:r>
        <w:rPr>
          <w:b/>
          <w:spacing w:val="-25"/>
          <w:sz w:val="28"/>
        </w:rPr>
        <w:t>附图 </w:t>
      </w:r>
      <w:r>
        <w:rPr>
          <w:b/>
          <w:sz w:val="28"/>
        </w:rPr>
        <w:t>2</w:t>
      </w:r>
      <w:r>
        <w:rPr>
          <w:b/>
          <w:spacing w:val="-2"/>
          <w:sz w:val="28"/>
        </w:rPr>
        <w:t>：企业周边环境风险受体分布图</w:t>
      </w:r>
      <w:r>
        <w:rPr>
          <w:b/>
          <w:spacing w:val="-25"/>
          <w:sz w:val="28"/>
        </w:rPr>
        <w:t>附图 </w:t>
      </w:r>
      <w:r>
        <w:rPr>
          <w:b/>
          <w:sz w:val="28"/>
        </w:rPr>
        <w:t>3</w:t>
      </w:r>
      <w:r>
        <w:rPr>
          <w:b/>
          <w:spacing w:val="-2"/>
          <w:sz w:val="28"/>
        </w:rPr>
        <w:t>：公司平面图及雨水排水系统图</w:t>
      </w:r>
      <w:r>
        <w:rPr>
          <w:b/>
          <w:spacing w:val="-25"/>
          <w:sz w:val="28"/>
        </w:rPr>
        <w:t>附件 </w:t>
      </w:r>
      <w:r>
        <w:rPr>
          <w:b/>
          <w:sz w:val="28"/>
        </w:rPr>
        <w:t>4：应急通讯</w:t>
      </w:r>
    </w:p>
    <w:p>
      <w:pPr>
        <w:spacing w:line="364" w:lineRule="auto" w:before="0"/>
        <w:ind w:left="1049" w:right="4929" w:firstLine="2"/>
        <w:jc w:val="both"/>
        <w:rPr>
          <w:b/>
          <w:sz w:val="28"/>
        </w:rPr>
      </w:pPr>
      <w:r>
        <w:rPr>
          <w:b/>
          <w:spacing w:val="-25"/>
          <w:sz w:val="28"/>
        </w:rPr>
        <w:t>附件 </w:t>
      </w:r>
      <w:r>
        <w:rPr>
          <w:b/>
          <w:sz w:val="28"/>
        </w:rPr>
        <w:t>5</w:t>
      </w:r>
      <w:r>
        <w:rPr>
          <w:b/>
          <w:spacing w:val="-2"/>
          <w:sz w:val="28"/>
        </w:rPr>
        <w:t>：应急物资与装备</w:t>
      </w:r>
      <w:r>
        <w:rPr>
          <w:b/>
          <w:spacing w:val="-25"/>
          <w:sz w:val="28"/>
        </w:rPr>
        <w:t>附件 </w:t>
      </w:r>
      <w:r>
        <w:rPr>
          <w:b/>
          <w:sz w:val="28"/>
        </w:rPr>
        <w:t>6：应急处置卡</w:t>
      </w:r>
    </w:p>
    <w:p>
      <w:pPr>
        <w:spacing w:after="0" w:line="364" w:lineRule="auto"/>
        <w:jc w:val="both"/>
        <w:rPr>
          <w:sz w:val="28"/>
        </w:rPr>
        <w:sectPr>
          <w:type w:val="continuous"/>
          <w:pgSz w:w="11910" w:h="16840"/>
          <w:pgMar w:top="1580" w:bottom="280" w:left="1480" w:right="1420"/>
        </w:sectPr>
      </w:pPr>
    </w:p>
    <w:p>
      <w:pPr>
        <w:pStyle w:val="Heading1"/>
        <w:numPr>
          <w:ilvl w:val="0"/>
          <w:numId w:val="3"/>
        </w:numPr>
        <w:tabs>
          <w:tab w:pos="464" w:val="left" w:leader="none"/>
        </w:tabs>
        <w:spacing w:line="240" w:lineRule="auto" w:before="105" w:after="0"/>
        <w:ind w:left="463" w:right="0" w:hanging="243"/>
        <w:jc w:val="left"/>
      </w:pPr>
      <w:bookmarkStart w:name="_TOC_250067" w:id="1"/>
      <w:bookmarkEnd w:id="1"/>
      <w:r>
        <w:rPr/>
        <w:t>总则</w:t>
      </w:r>
    </w:p>
    <w:p>
      <w:pPr>
        <w:pStyle w:val="ListParagraph"/>
        <w:numPr>
          <w:ilvl w:val="1"/>
          <w:numId w:val="3"/>
        </w:numPr>
        <w:tabs>
          <w:tab w:pos="717" w:val="left" w:leader="none"/>
        </w:tabs>
        <w:spacing w:line="240" w:lineRule="auto" w:before="208" w:after="0"/>
        <w:ind w:left="716" w:right="0" w:hanging="496"/>
        <w:jc w:val="left"/>
        <w:rPr>
          <w:b/>
          <w:sz w:val="28"/>
        </w:rPr>
      </w:pPr>
      <w:bookmarkStart w:name="_TOC_250066" w:id="2"/>
      <w:bookmarkEnd w:id="2"/>
      <w:r>
        <w:rPr>
          <w:b/>
          <w:sz w:val="28"/>
        </w:rPr>
        <w:t>编制目的</w:t>
      </w:r>
    </w:p>
    <w:p>
      <w:pPr>
        <w:pStyle w:val="BodyText"/>
        <w:spacing w:line="364" w:lineRule="auto" w:before="186"/>
        <w:ind w:left="221" w:right="139" w:firstLine="559"/>
      </w:pPr>
      <w:r>
        <w:rPr/>
        <w:t>为了建立健全突发性环境污染事件的应急机制，提高企业应对突发性环境事件的能力，最大限度地预防和减少突发性环境事件及其造成的损失，保障人身健康和环境安全，维护社会稳定，促进经济社会</w:t>
      </w:r>
      <w:r>
        <w:rPr>
          <w:spacing w:val="-14"/>
        </w:rPr>
        <w:t>全面、协调、可持续发展，</w:t>
      </w:r>
      <w:r>
        <w:rPr>
          <w:spacing w:val="-13"/>
        </w:rPr>
        <w:t>2016</w:t>
      </w:r>
      <w:r>
        <w:rPr>
          <w:spacing w:val="-45"/>
        </w:rPr>
        <w:t> 年 </w:t>
      </w:r>
      <w:r>
        <w:rPr/>
        <w:t>9</w:t>
      </w:r>
      <w:r>
        <w:rPr>
          <w:spacing w:val="-14"/>
        </w:rPr>
        <w:t> 月潍坊中汇化工有限公司按照《突</w:t>
      </w:r>
      <w:r>
        <w:rPr>
          <w:spacing w:val="-10"/>
        </w:rPr>
        <w:t>发环境事件应急预案管理暂行办法》</w:t>
      </w:r>
      <w:r>
        <w:rPr/>
        <w:t>（</w:t>
      </w:r>
      <w:r>
        <w:rPr>
          <w:spacing w:val="-7"/>
        </w:rPr>
        <w:t>环发〔</w:t>
      </w:r>
      <w:r>
        <w:rPr/>
        <w:t>2010</w:t>
      </w:r>
      <w:r>
        <w:rPr>
          <w:spacing w:val="-17"/>
        </w:rPr>
        <w:t>〕</w:t>
      </w:r>
      <w:r>
        <w:rPr/>
        <w:t>113</w:t>
      </w:r>
      <w:r>
        <w:rPr>
          <w:spacing w:val="-34"/>
        </w:rPr>
        <w:t> 号</w:t>
      </w:r>
      <w:r>
        <w:rPr>
          <w:spacing w:val="-17"/>
        </w:rPr>
        <w:t>）</w:t>
      </w:r>
      <w:r>
        <w:rPr>
          <w:spacing w:val="-6"/>
        </w:rPr>
        <w:t>和《企业</w:t>
      </w:r>
      <w:r>
        <w:rPr>
          <w:spacing w:val="-8"/>
        </w:rPr>
        <w:t>事业单位突发环境事件应急预案备案管理办法</w:t>
      </w:r>
      <w:r>
        <w:rPr/>
        <w:t>（</w:t>
      </w:r>
      <w:r>
        <w:rPr>
          <w:spacing w:val="-2"/>
        </w:rPr>
        <w:t>试行</w:t>
      </w:r>
      <w:r>
        <w:rPr>
          <w:spacing w:val="-65"/>
        </w:rPr>
        <w:t>）</w:t>
      </w:r>
      <w:r>
        <w:rPr>
          <w:spacing w:val="-128"/>
        </w:rPr>
        <w:t>》</w:t>
      </w:r>
      <w:r>
        <w:rPr/>
        <w:t>（</w:t>
      </w:r>
      <w:r>
        <w:rPr>
          <w:spacing w:val="-22"/>
        </w:rPr>
        <w:t>环发〔</w:t>
      </w:r>
      <w:r>
        <w:rPr/>
        <w:t>2015</w:t>
      </w:r>
      <w:r>
        <w:rPr>
          <w:spacing w:val="-11"/>
        </w:rPr>
        <w:t>〕</w:t>
      </w:r>
      <w:r>
        <w:rPr/>
        <w:t>4</w:t>
      </w:r>
      <w:r>
        <w:rPr>
          <w:spacing w:val="-33"/>
        </w:rPr>
        <w:t> 号</w:t>
      </w:r>
      <w:r>
        <w:rPr>
          <w:spacing w:val="-27"/>
        </w:rPr>
        <w:t>）</w:t>
      </w:r>
      <w:r>
        <w:rPr>
          <w:spacing w:val="-8"/>
        </w:rPr>
        <w:t>编制了《潍坊中汇化工有限公司突发环境事件应急预案》，并于</w:t>
      </w:r>
    </w:p>
    <w:p>
      <w:pPr>
        <w:pStyle w:val="BodyText"/>
        <w:spacing w:line="355" w:lineRule="exact"/>
        <w:ind w:left="221"/>
      </w:pPr>
      <w:r>
        <w:rPr/>
        <w:t>2016</w:t>
      </w:r>
      <w:r>
        <w:rPr>
          <w:spacing w:val="28"/>
        </w:rPr>
        <w:t> 年 </w:t>
      </w:r>
      <w:r>
        <w:rPr/>
        <w:t>10</w:t>
      </w:r>
      <w:r>
        <w:rPr>
          <w:spacing w:val="29"/>
        </w:rPr>
        <w:t> 月 </w:t>
      </w:r>
      <w:r>
        <w:rPr/>
        <w:t>3</w:t>
      </w:r>
      <w:r>
        <w:rPr>
          <w:spacing w:val="36"/>
        </w:rPr>
        <w:t> 日取得了潍坊市环保局滨海分局的备案编号</w:t>
      </w:r>
    </w:p>
    <w:p>
      <w:pPr>
        <w:pStyle w:val="BodyText"/>
        <w:spacing w:before="186"/>
        <w:ind w:left="221"/>
      </w:pPr>
      <w:r>
        <w:rPr/>
        <w:t>（370703-2016-086-L）。</w:t>
      </w:r>
    </w:p>
    <w:p>
      <w:pPr>
        <w:pStyle w:val="BodyText"/>
        <w:spacing w:line="364" w:lineRule="auto" w:before="186"/>
        <w:ind w:left="221" w:right="134" w:firstLine="559"/>
      </w:pPr>
      <w:r>
        <w:rPr/>
        <w:t>2018</w:t>
      </w:r>
      <w:r>
        <w:rPr>
          <w:spacing w:val="-38"/>
        </w:rPr>
        <w:t> 年 </w:t>
      </w:r>
      <w:r>
        <w:rPr/>
        <w:t>9</w:t>
      </w:r>
      <w:r>
        <w:rPr>
          <w:spacing w:val="-9"/>
        </w:rPr>
        <w:t> 月，由于企业内部利用旧储罐增大了废乙腈存储量，同</w:t>
      </w:r>
      <w:r>
        <w:rPr>
          <w:spacing w:val="-2"/>
        </w:rPr>
        <w:t>时煤改气增建了天然气炉等，根据突发环境事件应急预案管理暂行办</w:t>
      </w:r>
      <w:r>
        <w:rPr>
          <w:spacing w:val="-20"/>
        </w:rPr>
        <w:t>法》</w:t>
      </w:r>
      <w:r>
        <w:rPr/>
        <w:t>（</w:t>
      </w:r>
      <w:r>
        <w:rPr>
          <w:spacing w:val="-7"/>
        </w:rPr>
        <w:t>环发〔</w:t>
      </w:r>
      <w:r>
        <w:rPr/>
        <w:t>2010</w:t>
      </w:r>
      <w:r>
        <w:rPr>
          <w:spacing w:val="-17"/>
        </w:rPr>
        <w:t>〕</w:t>
      </w:r>
      <w:r>
        <w:rPr/>
        <w:t>113</w:t>
      </w:r>
      <w:r>
        <w:rPr>
          <w:spacing w:val="-34"/>
        </w:rPr>
        <w:t> 号</w:t>
      </w:r>
      <w:r>
        <w:rPr>
          <w:spacing w:val="-17"/>
        </w:rPr>
        <w:t>）</w:t>
      </w:r>
      <w:r>
        <w:rPr>
          <w:spacing w:val="-5"/>
        </w:rPr>
        <w:t>和《企业事业单位突发环境事件应急预案</w:t>
      </w:r>
      <w:r>
        <w:rPr>
          <w:spacing w:val="-6"/>
        </w:rPr>
        <w:t>备案管理办法</w:t>
      </w:r>
      <w:r>
        <w:rPr>
          <w:spacing w:val="-3"/>
        </w:rPr>
        <w:t>（</w:t>
      </w:r>
      <w:r>
        <w:rPr>
          <w:spacing w:val="-2"/>
        </w:rPr>
        <w:t>试行</w:t>
      </w:r>
      <w:r>
        <w:rPr>
          <w:spacing w:val="-13"/>
        </w:rPr>
        <w:t>）</w:t>
      </w:r>
      <w:r>
        <w:rPr>
          <w:spacing w:val="-24"/>
        </w:rPr>
        <w:t>》</w:t>
      </w:r>
      <w:r>
        <w:rPr/>
        <w:t>（</w:t>
      </w:r>
      <w:r>
        <w:rPr>
          <w:spacing w:val="-6"/>
        </w:rPr>
        <w:t>环发〔</w:t>
      </w:r>
      <w:r>
        <w:rPr/>
        <w:t>2015</w:t>
      </w:r>
      <w:r>
        <w:rPr>
          <w:spacing w:val="-10"/>
        </w:rPr>
        <w:t>〕</w:t>
      </w:r>
      <w:r>
        <w:rPr/>
        <w:t>4</w:t>
      </w:r>
      <w:r>
        <w:rPr>
          <w:spacing w:val="-34"/>
        </w:rPr>
        <w:t> 号</w:t>
      </w:r>
      <w:r>
        <w:rPr>
          <w:spacing w:val="-13"/>
        </w:rPr>
        <w:t>）</w:t>
      </w:r>
      <w:r>
        <w:rPr>
          <w:spacing w:val="-6"/>
        </w:rPr>
        <w:t>、《企业事业单位突发</w:t>
      </w:r>
      <w:r>
        <w:rPr>
          <w:spacing w:val="-11"/>
        </w:rPr>
        <w:t>环境事件应急预案评审工作指南</w:t>
      </w:r>
      <w:r>
        <w:rPr>
          <w:spacing w:val="-3"/>
        </w:rPr>
        <w:t>（</w:t>
      </w:r>
      <w:r>
        <w:rPr>
          <w:spacing w:val="-2"/>
        </w:rPr>
        <w:t>试行</w:t>
      </w:r>
      <w:r>
        <w:rPr>
          <w:spacing w:val="-82"/>
        </w:rPr>
        <w:t>）</w:t>
      </w:r>
      <w:r>
        <w:rPr>
          <w:spacing w:val="-15"/>
        </w:rPr>
        <w:t>》环办应急[</w:t>
      </w:r>
      <w:r>
        <w:rPr/>
        <w:t>2018]8</w:t>
      </w:r>
      <w:r>
        <w:rPr>
          <w:spacing w:val="-10"/>
        </w:rPr>
        <w:t> 号的要求， </w:t>
      </w:r>
      <w:r>
        <w:rPr>
          <w:spacing w:val="-2"/>
        </w:rPr>
        <w:t>成立突发环境事件应急救援机构，在企业环境风险评价的基础上，确</w:t>
      </w:r>
      <w:r>
        <w:rPr/>
        <w:t>定公司可能造成突发环境污染事件的风险目标和风险因子，并制订有</w:t>
      </w:r>
      <w:r>
        <w:rPr>
          <w:spacing w:val="-5"/>
        </w:rPr>
        <w:t>针对性的预防措施，编制了本公司突发环境事件应急预案</w:t>
      </w:r>
      <w:r>
        <w:rPr/>
        <w:t>（</w:t>
      </w:r>
      <w:r>
        <w:rPr>
          <w:spacing w:val="-2"/>
        </w:rPr>
        <w:t>第二版</w:t>
      </w:r>
      <w:r>
        <w:rPr>
          <w:spacing w:val="-15"/>
        </w:rPr>
        <w:t>）</w:t>
      </w:r>
      <w:r>
        <w:rPr/>
        <w:t>。</w:t>
      </w:r>
    </w:p>
    <w:p>
      <w:pPr>
        <w:pStyle w:val="ListParagraph"/>
        <w:numPr>
          <w:ilvl w:val="1"/>
          <w:numId w:val="3"/>
        </w:numPr>
        <w:tabs>
          <w:tab w:pos="717" w:val="left" w:leader="none"/>
        </w:tabs>
        <w:spacing w:line="352" w:lineRule="exact" w:before="0" w:after="0"/>
        <w:ind w:left="716" w:right="0" w:hanging="496"/>
        <w:jc w:val="left"/>
        <w:rPr>
          <w:b/>
          <w:sz w:val="28"/>
        </w:rPr>
      </w:pPr>
      <w:bookmarkStart w:name="_TOC_250065" w:id="3"/>
      <w:bookmarkEnd w:id="3"/>
      <w:r>
        <w:rPr>
          <w:b/>
          <w:sz w:val="28"/>
        </w:rPr>
        <w:t>编制依据</w:t>
      </w:r>
    </w:p>
    <w:p>
      <w:pPr>
        <w:pStyle w:val="BodyText"/>
        <w:spacing w:line="364" w:lineRule="auto" w:before="186"/>
        <w:ind w:left="221" w:right="276" w:firstLine="559"/>
        <w:jc w:val="both"/>
      </w:pPr>
      <w:r>
        <w:rPr/>
        <w:t>应急预案编制所依据的有关法律、法规和规章，以及有关行业管理规定、技术规范和标准。以下凡不注明日期引用的法律、法规和规章，其有效版本适用于本应急预案。</w:t>
      </w:r>
    </w:p>
    <w:p>
      <w:pPr>
        <w:pStyle w:val="ListParagraph"/>
        <w:numPr>
          <w:ilvl w:val="2"/>
          <w:numId w:val="3"/>
        </w:numPr>
        <w:tabs>
          <w:tab w:pos="1278" w:val="left" w:leader="none"/>
        </w:tabs>
        <w:spacing w:line="357" w:lineRule="exact" w:before="0" w:after="0"/>
        <w:ind w:left="1277" w:right="0" w:hanging="776"/>
        <w:jc w:val="left"/>
        <w:rPr>
          <w:b/>
          <w:sz w:val="28"/>
        </w:rPr>
      </w:pPr>
      <w:r>
        <w:rPr>
          <w:b/>
          <w:sz w:val="28"/>
        </w:rPr>
        <w:t>法律、法规、规章</w:t>
      </w:r>
    </w:p>
    <w:p>
      <w:pPr>
        <w:pStyle w:val="BodyText"/>
        <w:spacing w:before="186"/>
        <w:ind w:left="780"/>
      </w:pPr>
      <w:r>
        <w:rPr/>
        <w:t>1、《中华人民共和国环境保护法》（中华人民共和国主席令 第九</w:t>
      </w:r>
    </w:p>
    <w:p>
      <w:pPr>
        <w:spacing w:after="0"/>
        <w:sectPr>
          <w:footerReference w:type="default" r:id="rId5"/>
          <w:pgSz w:w="11910" w:h="16840"/>
          <w:pgMar w:footer="984" w:header="0" w:top="1580" w:bottom="1180" w:left="1480" w:right="1420"/>
          <w:pgNumType w:start="1"/>
        </w:sectPr>
      </w:pPr>
    </w:p>
    <w:p>
      <w:pPr>
        <w:pStyle w:val="BodyText"/>
        <w:spacing w:before="102"/>
        <w:ind w:left="221"/>
      </w:pPr>
      <w:r>
        <w:rPr>
          <w:w w:val="100"/>
        </w:rPr>
        <w:t>号</w:t>
      </w:r>
      <w:r>
        <w:rPr>
          <w:spacing w:val="-140"/>
          <w:w w:val="100"/>
        </w:rPr>
        <w:t>）</w:t>
      </w:r>
      <w:r>
        <w:rPr>
          <w:spacing w:val="-1"/>
          <w:w w:val="100"/>
        </w:rPr>
        <w:t>，</w:t>
      </w:r>
      <w:r>
        <w:rPr>
          <w:w w:val="100"/>
        </w:rPr>
        <w:t>2</w:t>
      </w:r>
      <w:r>
        <w:rPr>
          <w:spacing w:val="-3"/>
          <w:w w:val="100"/>
        </w:rPr>
        <w:t>0</w:t>
      </w:r>
      <w:r>
        <w:rPr>
          <w:w w:val="100"/>
        </w:rPr>
        <w:t>15</w:t>
      </w:r>
      <w:r>
        <w:rPr>
          <w:spacing w:val="-73"/>
        </w:rPr>
        <w:t> </w:t>
      </w:r>
      <w:r>
        <w:rPr>
          <w:w w:val="100"/>
        </w:rPr>
        <w:t>年</w:t>
      </w:r>
      <w:r>
        <w:rPr>
          <w:spacing w:val="-68"/>
        </w:rPr>
        <w:t> </w:t>
      </w:r>
      <w:r>
        <w:rPr>
          <w:w w:val="100"/>
        </w:rPr>
        <w:t>1</w:t>
      </w:r>
      <w:r>
        <w:rPr>
          <w:spacing w:val="-72"/>
        </w:rPr>
        <w:t> </w:t>
      </w:r>
      <w:r>
        <w:rPr>
          <w:w w:val="100"/>
        </w:rPr>
        <w:t>月</w:t>
      </w:r>
      <w:r>
        <w:rPr>
          <w:spacing w:val="-71"/>
        </w:rPr>
        <w:t> </w:t>
      </w:r>
      <w:r>
        <w:rPr>
          <w:w w:val="100"/>
        </w:rPr>
        <w:t>1</w:t>
      </w:r>
      <w:r>
        <w:rPr>
          <w:spacing w:val="-72"/>
        </w:rPr>
        <w:t> </w:t>
      </w:r>
      <w:r>
        <w:rPr>
          <w:w w:val="100"/>
        </w:rPr>
        <w:t>日；</w:t>
      </w:r>
    </w:p>
    <w:p>
      <w:pPr>
        <w:pStyle w:val="BodyText"/>
        <w:spacing w:before="186"/>
        <w:ind w:left="780"/>
      </w:pPr>
      <w:r>
        <w:rPr/>
        <w:t>2、《中华人民共和国水污染防治法》，2008 年 6 月 1 日；</w:t>
      </w:r>
    </w:p>
    <w:p>
      <w:pPr>
        <w:pStyle w:val="BodyText"/>
        <w:spacing w:before="186"/>
        <w:ind w:left="780"/>
      </w:pPr>
      <w:r>
        <w:rPr/>
        <w:t>3、《中华人民共和国大气污染防治法》，2000 年 9 月 1 日；</w:t>
      </w:r>
    </w:p>
    <w:p>
      <w:pPr>
        <w:pStyle w:val="BodyText"/>
        <w:spacing w:before="186"/>
        <w:ind w:left="780"/>
      </w:pPr>
      <w:r>
        <w:rPr/>
        <w:t>4、《中华人民共和国突发事件应对法》，2007 年 11 月 1 日；</w:t>
      </w:r>
    </w:p>
    <w:p>
      <w:pPr>
        <w:pStyle w:val="BodyText"/>
        <w:spacing w:before="186"/>
        <w:ind w:left="780"/>
      </w:pPr>
      <w:r>
        <w:rPr/>
        <w:t>5、《中华人民共和国安全生产法》，2014 年 12 月 1 日；</w:t>
      </w:r>
    </w:p>
    <w:p>
      <w:pPr>
        <w:pStyle w:val="BodyText"/>
        <w:spacing w:before="186"/>
        <w:ind w:left="780"/>
      </w:pPr>
      <w:r>
        <w:rPr/>
        <w:t>6、《中华人民共和国消防法》，2009 年 5 月 1 日；</w:t>
      </w:r>
    </w:p>
    <w:p>
      <w:pPr>
        <w:pStyle w:val="BodyText"/>
        <w:spacing w:before="184"/>
        <w:ind w:left="780"/>
      </w:pPr>
      <w:r>
        <w:rPr>
          <w:spacing w:val="-2"/>
          <w:w w:val="100"/>
        </w:rPr>
        <w:t>7</w:t>
      </w:r>
      <w:r>
        <w:rPr>
          <w:spacing w:val="-24"/>
          <w:w w:val="100"/>
        </w:rPr>
        <w:t>、《危险化学品安全管理条例》</w:t>
      </w:r>
      <w:r>
        <w:rPr>
          <w:spacing w:val="-1"/>
          <w:w w:val="100"/>
        </w:rPr>
        <w:t>（</w:t>
      </w:r>
      <w:r>
        <w:rPr>
          <w:spacing w:val="-2"/>
          <w:w w:val="100"/>
        </w:rPr>
        <w:t>国务院令</w:t>
      </w:r>
      <w:r>
        <w:rPr>
          <w:spacing w:val="-1"/>
        </w:rPr>
        <w:t> </w:t>
      </w:r>
      <w:r>
        <w:rPr>
          <w:w w:val="100"/>
        </w:rPr>
        <w:t>第</w:t>
      </w:r>
      <w:r>
        <w:rPr>
          <w:spacing w:val="-59"/>
        </w:rPr>
        <w:t> </w:t>
      </w:r>
      <w:r>
        <w:rPr>
          <w:w w:val="100"/>
        </w:rPr>
        <w:t>5</w:t>
      </w:r>
      <w:r>
        <w:rPr>
          <w:spacing w:val="-3"/>
          <w:w w:val="100"/>
        </w:rPr>
        <w:t>9</w:t>
      </w:r>
      <w:r>
        <w:rPr>
          <w:w w:val="100"/>
        </w:rPr>
        <w:t>1</w:t>
      </w:r>
      <w:r>
        <w:rPr>
          <w:spacing w:val="-60"/>
        </w:rPr>
        <w:t> </w:t>
      </w:r>
      <w:r>
        <w:rPr>
          <w:w w:val="100"/>
        </w:rPr>
        <w:t>号</w:t>
      </w:r>
      <w:r>
        <w:rPr>
          <w:spacing w:val="-1"/>
        </w:rPr>
        <w:t> </w:t>
      </w:r>
      <w:r>
        <w:rPr>
          <w:spacing w:val="-140"/>
          <w:w w:val="100"/>
        </w:rPr>
        <w:t>）</w:t>
      </w:r>
      <w:r>
        <w:rPr>
          <w:spacing w:val="-3"/>
          <w:w w:val="100"/>
        </w:rPr>
        <w:t>，</w:t>
      </w:r>
      <w:r>
        <w:rPr>
          <w:spacing w:val="1"/>
          <w:w w:val="100"/>
        </w:rPr>
        <w:t>2</w:t>
      </w:r>
      <w:r>
        <w:rPr>
          <w:w w:val="100"/>
        </w:rPr>
        <w:t>0</w:t>
      </w:r>
      <w:r>
        <w:rPr>
          <w:spacing w:val="-3"/>
          <w:w w:val="100"/>
        </w:rPr>
        <w:t>1</w:t>
      </w:r>
      <w:r>
        <w:rPr>
          <w:w w:val="100"/>
        </w:rPr>
        <w:t>1</w:t>
      </w:r>
      <w:r>
        <w:rPr>
          <w:spacing w:val="-60"/>
        </w:rPr>
        <w:t> </w:t>
      </w:r>
      <w:r>
        <w:rPr>
          <w:w w:val="100"/>
        </w:rPr>
        <w:t>年</w:t>
      </w:r>
    </w:p>
    <w:p>
      <w:pPr>
        <w:pStyle w:val="BodyText"/>
        <w:spacing w:before="186"/>
        <w:ind w:left="221"/>
      </w:pPr>
      <w:r>
        <w:rPr/>
        <w:t>12 月 1 日；</w:t>
      </w:r>
    </w:p>
    <w:p>
      <w:pPr>
        <w:pStyle w:val="BodyText"/>
        <w:spacing w:line="364" w:lineRule="auto" w:before="186"/>
        <w:ind w:left="221" w:right="277" w:firstLine="559"/>
      </w:pPr>
      <w:r>
        <w:rPr>
          <w:spacing w:val="3"/>
          <w:w w:val="100"/>
        </w:rPr>
        <w:t>8</w:t>
      </w:r>
      <w:r>
        <w:rPr>
          <w:spacing w:val="-23"/>
          <w:w w:val="100"/>
        </w:rPr>
        <w:t>、《国务院关于加强环境保护重点工作的意见》，</w:t>
      </w:r>
      <w:r>
        <w:rPr>
          <w:spacing w:val="2"/>
          <w:w w:val="100"/>
        </w:rPr>
        <w:t>（</w:t>
      </w:r>
      <w:r>
        <w:rPr>
          <w:spacing w:val="3"/>
          <w:w w:val="100"/>
        </w:rPr>
        <w:t>国发</w:t>
      </w:r>
      <w:r>
        <w:rPr>
          <w:w w:val="100"/>
        </w:rPr>
        <w:t>[20</w:t>
      </w:r>
      <w:r>
        <w:rPr>
          <w:spacing w:val="-3"/>
          <w:w w:val="100"/>
        </w:rPr>
        <w:t>1</w:t>
      </w:r>
      <w:r>
        <w:rPr>
          <w:spacing w:val="1"/>
          <w:w w:val="100"/>
        </w:rPr>
        <w:t>1</w:t>
      </w:r>
      <w:r>
        <w:rPr>
          <w:w w:val="100"/>
        </w:rPr>
        <w:t>]</w:t>
      </w:r>
      <w:r>
        <w:rPr>
          <w:spacing w:val="-3"/>
          <w:w w:val="100"/>
        </w:rPr>
        <w:t>3</w:t>
      </w:r>
      <w:r>
        <w:rPr>
          <w:w w:val="100"/>
        </w:rPr>
        <w:t>5号</w:t>
      </w:r>
      <w:r>
        <w:rPr>
          <w:spacing w:val="-140"/>
          <w:w w:val="100"/>
        </w:rPr>
        <w:t>）</w:t>
      </w:r>
      <w:r>
        <w:rPr>
          <w:w w:val="100"/>
        </w:rPr>
        <w:t>；</w:t>
      </w:r>
    </w:p>
    <w:p>
      <w:pPr>
        <w:pStyle w:val="BodyText"/>
        <w:spacing w:line="358" w:lineRule="exact"/>
        <w:ind w:left="780"/>
      </w:pPr>
      <w:r>
        <w:rPr>
          <w:spacing w:val="-2"/>
          <w:w w:val="100"/>
        </w:rPr>
        <w:t>9</w:t>
      </w:r>
      <w:r>
        <w:rPr>
          <w:spacing w:val="-21"/>
          <w:w w:val="100"/>
        </w:rPr>
        <w:t>、《危险化学品环境管理登记办法》</w:t>
      </w:r>
      <w:r>
        <w:rPr>
          <w:spacing w:val="-3"/>
          <w:w w:val="100"/>
        </w:rPr>
        <w:t>（</w:t>
      </w:r>
      <w:r>
        <w:rPr>
          <w:spacing w:val="-1"/>
          <w:w w:val="100"/>
        </w:rPr>
        <w:t>环境保护部令</w:t>
      </w:r>
      <w:r>
        <w:rPr>
          <w:spacing w:val="-1"/>
        </w:rPr>
        <w:t> </w:t>
      </w:r>
      <w:r>
        <w:rPr>
          <w:w w:val="100"/>
        </w:rPr>
        <w:t>第</w:t>
      </w:r>
      <w:r>
        <w:rPr>
          <w:spacing w:val="-18"/>
        </w:rPr>
        <w:t> </w:t>
      </w:r>
      <w:r>
        <w:rPr>
          <w:spacing w:val="-4"/>
          <w:w w:val="100"/>
        </w:rPr>
        <w:t>2</w:t>
      </w:r>
      <w:r>
        <w:rPr>
          <w:w w:val="100"/>
        </w:rPr>
        <w:t>2</w:t>
      </w:r>
      <w:r>
        <w:rPr>
          <w:spacing w:val="-19"/>
        </w:rPr>
        <w:t> </w:t>
      </w:r>
      <w:r>
        <w:rPr>
          <w:w w:val="100"/>
        </w:rPr>
        <w:t>号</w:t>
      </w:r>
      <w:r>
        <w:rPr>
          <w:spacing w:val="-140"/>
          <w:w w:val="100"/>
        </w:rPr>
        <w:t>）</w:t>
      </w:r>
      <w:r>
        <w:rPr>
          <w:w w:val="100"/>
        </w:rPr>
        <w:t>，</w:t>
      </w:r>
    </w:p>
    <w:p>
      <w:pPr>
        <w:pStyle w:val="BodyText"/>
        <w:spacing w:before="186"/>
        <w:ind w:left="221"/>
      </w:pPr>
      <w:r>
        <w:rPr/>
        <w:t>2013 年 3 月 1 日；</w:t>
      </w:r>
    </w:p>
    <w:p>
      <w:pPr>
        <w:pStyle w:val="BodyText"/>
        <w:spacing w:before="186"/>
        <w:ind w:left="780"/>
      </w:pPr>
      <w:r>
        <w:rPr>
          <w:spacing w:val="1"/>
          <w:w w:val="100"/>
        </w:rPr>
        <w:t>1</w:t>
      </w:r>
      <w:r>
        <w:rPr>
          <w:spacing w:val="-2"/>
          <w:w w:val="100"/>
        </w:rPr>
        <w:t>0</w:t>
      </w:r>
      <w:r>
        <w:rPr>
          <w:spacing w:val="-23"/>
          <w:w w:val="100"/>
        </w:rPr>
        <w:t>、《突发环境事件信息报告方法》</w:t>
      </w:r>
      <w:r>
        <w:rPr>
          <w:w w:val="100"/>
        </w:rPr>
        <w:t>（</w:t>
      </w:r>
      <w:r>
        <w:rPr>
          <w:spacing w:val="-2"/>
          <w:w w:val="100"/>
        </w:rPr>
        <w:t>环保部令第</w:t>
      </w:r>
      <w:r>
        <w:rPr>
          <w:spacing w:val="-59"/>
        </w:rPr>
        <w:t> </w:t>
      </w:r>
      <w:r>
        <w:rPr>
          <w:w w:val="100"/>
        </w:rPr>
        <w:t>17</w:t>
      </w:r>
      <w:r>
        <w:rPr>
          <w:spacing w:val="-61"/>
        </w:rPr>
        <w:t> </w:t>
      </w:r>
      <w:r>
        <w:rPr>
          <w:spacing w:val="-3"/>
          <w:w w:val="100"/>
        </w:rPr>
        <w:t>号</w:t>
      </w:r>
      <w:r>
        <w:rPr>
          <w:spacing w:val="-140"/>
          <w:w w:val="100"/>
        </w:rPr>
        <w:t>）</w:t>
      </w:r>
      <w:r>
        <w:rPr>
          <w:w w:val="100"/>
        </w:rPr>
        <w:t>，</w:t>
      </w:r>
      <w:r>
        <w:rPr>
          <w:spacing w:val="-4"/>
          <w:w w:val="100"/>
        </w:rPr>
        <w:t>2</w:t>
      </w:r>
      <w:r>
        <w:rPr>
          <w:spacing w:val="1"/>
          <w:w w:val="100"/>
        </w:rPr>
        <w:t>0</w:t>
      </w:r>
      <w:r>
        <w:rPr>
          <w:w w:val="100"/>
        </w:rPr>
        <w:t>11</w:t>
      </w:r>
      <w:r>
        <w:rPr>
          <w:spacing w:val="-61"/>
        </w:rPr>
        <w:t> </w:t>
      </w:r>
      <w:r>
        <w:rPr>
          <w:w w:val="100"/>
        </w:rPr>
        <w:t>年</w:t>
      </w:r>
    </w:p>
    <w:p>
      <w:pPr>
        <w:pStyle w:val="BodyText"/>
        <w:spacing w:before="186"/>
        <w:ind w:left="221"/>
      </w:pPr>
      <w:r>
        <w:rPr/>
        <w:t>5 月 1 日；</w:t>
      </w:r>
    </w:p>
    <w:p>
      <w:pPr>
        <w:pStyle w:val="BodyText"/>
        <w:spacing w:before="186"/>
        <w:ind w:left="780"/>
      </w:pPr>
      <w:r>
        <w:rPr>
          <w:spacing w:val="1"/>
          <w:w w:val="100"/>
        </w:rPr>
        <w:t>1</w:t>
      </w:r>
      <w:r>
        <w:rPr>
          <w:spacing w:val="-2"/>
          <w:w w:val="100"/>
        </w:rPr>
        <w:t>1</w:t>
      </w:r>
      <w:r>
        <w:rPr>
          <w:spacing w:val="-21"/>
          <w:w w:val="100"/>
        </w:rPr>
        <w:t>、《突发环境事件应急预案管理办法》</w:t>
      </w:r>
      <w:r>
        <w:rPr>
          <w:w w:val="100"/>
        </w:rPr>
        <w:t>（国办发[</w:t>
      </w:r>
      <w:r>
        <w:rPr>
          <w:spacing w:val="-3"/>
          <w:w w:val="100"/>
        </w:rPr>
        <w:t>2</w:t>
      </w:r>
      <w:r>
        <w:rPr>
          <w:w w:val="100"/>
        </w:rPr>
        <w:t>0</w:t>
      </w:r>
      <w:r>
        <w:rPr>
          <w:spacing w:val="-3"/>
          <w:w w:val="100"/>
        </w:rPr>
        <w:t>1</w:t>
      </w:r>
      <w:r>
        <w:rPr>
          <w:spacing w:val="1"/>
          <w:w w:val="100"/>
        </w:rPr>
        <w:t>3</w:t>
      </w:r>
      <w:r>
        <w:rPr>
          <w:w w:val="100"/>
        </w:rPr>
        <w:t>]</w:t>
      </w:r>
      <w:r>
        <w:rPr>
          <w:spacing w:val="-3"/>
          <w:w w:val="100"/>
        </w:rPr>
        <w:t>1</w:t>
      </w:r>
      <w:r>
        <w:rPr>
          <w:w w:val="100"/>
        </w:rPr>
        <w:t>01</w:t>
      </w:r>
      <w:r>
        <w:rPr>
          <w:spacing w:val="-40"/>
        </w:rPr>
        <w:t> </w:t>
      </w:r>
      <w:r>
        <w:rPr>
          <w:w w:val="100"/>
        </w:rPr>
        <w:t>号</w:t>
      </w:r>
      <w:r>
        <w:rPr>
          <w:spacing w:val="-140"/>
          <w:w w:val="100"/>
        </w:rPr>
        <w:t>）</w:t>
      </w:r>
      <w:r>
        <w:rPr>
          <w:w w:val="100"/>
        </w:rPr>
        <w:t>，</w:t>
      </w:r>
    </w:p>
    <w:p>
      <w:pPr>
        <w:pStyle w:val="BodyText"/>
        <w:spacing w:before="186"/>
        <w:ind w:left="221"/>
      </w:pPr>
      <w:r>
        <w:rPr/>
        <w:t>2013 年 10 月 25 日；</w:t>
      </w:r>
    </w:p>
    <w:p>
      <w:pPr>
        <w:pStyle w:val="BodyText"/>
        <w:spacing w:line="364" w:lineRule="auto" w:before="186"/>
        <w:ind w:left="221" w:right="273" w:firstLine="559"/>
      </w:pPr>
      <w:r>
        <w:rPr/>
        <w:t>12</w:t>
      </w:r>
      <w:r>
        <w:rPr>
          <w:spacing w:val="-19"/>
        </w:rPr>
        <w:t>、《废弃危险化学品污染环境防治办法》</w:t>
      </w:r>
      <w:r>
        <w:rPr>
          <w:spacing w:val="4"/>
        </w:rPr>
        <w:t>（</w:t>
      </w:r>
      <w:r>
        <w:rPr/>
        <w:t>国家环境保护总局令</w:t>
      </w:r>
      <w:r>
        <w:rPr>
          <w:spacing w:val="1"/>
          <w:w w:val="100"/>
        </w:rPr>
        <w:t>[</w:t>
      </w:r>
      <w:r>
        <w:rPr>
          <w:w w:val="100"/>
        </w:rPr>
        <w:t>2</w:t>
      </w:r>
      <w:r>
        <w:rPr>
          <w:spacing w:val="-3"/>
          <w:w w:val="100"/>
        </w:rPr>
        <w:t>0</w:t>
      </w:r>
      <w:r>
        <w:rPr>
          <w:spacing w:val="1"/>
          <w:w w:val="100"/>
        </w:rPr>
        <w:t>0</w:t>
      </w:r>
      <w:r>
        <w:rPr>
          <w:w w:val="100"/>
        </w:rPr>
        <w:t>5</w:t>
      </w:r>
      <w:r>
        <w:rPr>
          <w:spacing w:val="-2"/>
          <w:w w:val="100"/>
        </w:rPr>
        <w:t>]第</w:t>
      </w:r>
      <w:r>
        <w:rPr>
          <w:spacing w:val="-71"/>
        </w:rPr>
        <w:t> </w:t>
      </w:r>
      <w:r>
        <w:rPr>
          <w:spacing w:val="1"/>
          <w:w w:val="100"/>
        </w:rPr>
        <w:t>2</w:t>
      </w:r>
      <w:r>
        <w:rPr>
          <w:w w:val="100"/>
        </w:rPr>
        <w:t>7</w:t>
      </w:r>
      <w:r>
        <w:rPr>
          <w:spacing w:val="-72"/>
        </w:rPr>
        <w:t> </w:t>
      </w:r>
      <w:r>
        <w:rPr>
          <w:w w:val="100"/>
        </w:rPr>
        <w:t>号</w:t>
      </w:r>
      <w:r>
        <w:rPr>
          <w:spacing w:val="-142"/>
          <w:w w:val="100"/>
        </w:rPr>
        <w:t>）</w:t>
      </w:r>
      <w:r>
        <w:rPr>
          <w:w w:val="100"/>
        </w:rPr>
        <w:t>，2005</w:t>
      </w:r>
      <w:r>
        <w:rPr>
          <w:spacing w:val="-73"/>
        </w:rPr>
        <w:t> </w:t>
      </w:r>
      <w:r>
        <w:rPr>
          <w:w w:val="100"/>
        </w:rPr>
        <w:t>年</w:t>
      </w:r>
      <w:r>
        <w:rPr>
          <w:spacing w:val="-71"/>
        </w:rPr>
        <w:t> </w:t>
      </w:r>
      <w:r>
        <w:rPr>
          <w:spacing w:val="1"/>
          <w:w w:val="100"/>
        </w:rPr>
        <w:t>1</w:t>
      </w:r>
      <w:r>
        <w:rPr>
          <w:w w:val="100"/>
        </w:rPr>
        <w:t>0</w:t>
      </w:r>
      <w:r>
        <w:rPr>
          <w:spacing w:val="-72"/>
        </w:rPr>
        <w:t> </w:t>
      </w:r>
      <w:r>
        <w:rPr>
          <w:w w:val="100"/>
        </w:rPr>
        <w:t>月</w:t>
      </w:r>
      <w:r>
        <w:rPr>
          <w:spacing w:val="-71"/>
        </w:rPr>
        <w:t> </w:t>
      </w:r>
      <w:r>
        <w:rPr>
          <w:w w:val="100"/>
        </w:rPr>
        <w:t>1</w:t>
      </w:r>
      <w:r>
        <w:rPr>
          <w:spacing w:val="-72"/>
        </w:rPr>
        <w:t> </w:t>
      </w:r>
      <w:r>
        <w:rPr>
          <w:w w:val="100"/>
        </w:rPr>
        <w:t>日</w:t>
      </w:r>
      <w:r>
        <w:rPr/>
        <w:t> </w:t>
      </w:r>
      <w:r>
        <w:rPr>
          <w:w w:val="100"/>
        </w:rPr>
        <w:t>；</w:t>
      </w:r>
    </w:p>
    <w:p>
      <w:pPr>
        <w:pStyle w:val="BodyText"/>
        <w:spacing w:line="358" w:lineRule="exact"/>
        <w:ind w:left="780"/>
      </w:pPr>
      <w:r>
        <w:rPr>
          <w:spacing w:val="1"/>
          <w:w w:val="100"/>
        </w:rPr>
        <w:t>1</w:t>
      </w:r>
      <w:r>
        <w:rPr>
          <w:spacing w:val="-2"/>
          <w:w w:val="100"/>
        </w:rPr>
        <w:t>3</w:t>
      </w:r>
      <w:r>
        <w:rPr>
          <w:spacing w:val="-41"/>
          <w:w w:val="100"/>
        </w:rPr>
        <w:t>、《危险化学品目录》，</w:t>
      </w:r>
      <w:r>
        <w:rPr>
          <w:w w:val="100"/>
        </w:rPr>
        <w:t>（2</w:t>
      </w:r>
      <w:r>
        <w:rPr>
          <w:spacing w:val="-3"/>
          <w:w w:val="100"/>
        </w:rPr>
        <w:t>0</w:t>
      </w:r>
      <w:r>
        <w:rPr>
          <w:spacing w:val="1"/>
          <w:w w:val="100"/>
        </w:rPr>
        <w:t>1</w:t>
      </w:r>
      <w:r>
        <w:rPr>
          <w:w w:val="100"/>
        </w:rPr>
        <w:t>5</w:t>
      </w:r>
      <w:r>
        <w:rPr>
          <w:spacing w:val="-72"/>
        </w:rPr>
        <w:t> </w:t>
      </w:r>
      <w:r>
        <w:rPr>
          <w:w w:val="100"/>
        </w:rPr>
        <w:t>版</w:t>
      </w:r>
      <w:r>
        <w:rPr>
          <w:spacing w:val="-142"/>
          <w:w w:val="100"/>
        </w:rPr>
        <w:t>）</w:t>
      </w:r>
      <w:r>
        <w:rPr>
          <w:w w:val="100"/>
        </w:rPr>
        <w:t>；</w:t>
      </w:r>
    </w:p>
    <w:p>
      <w:pPr>
        <w:pStyle w:val="BodyText"/>
        <w:spacing w:before="186"/>
        <w:ind w:left="780"/>
      </w:pPr>
      <w:r>
        <w:rPr>
          <w:spacing w:val="1"/>
          <w:w w:val="100"/>
        </w:rPr>
        <w:t>1</w:t>
      </w:r>
      <w:r>
        <w:rPr>
          <w:spacing w:val="-2"/>
          <w:w w:val="100"/>
        </w:rPr>
        <w:t>4</w:t>
      </w:r>
      <w:r>
        <w:rPr>
          <w:spacing w:val="-39"/>
          <w:w w:val="100"/>
        </w:rPr>
        <w:t>、《国家危险废物名录》，</w:t>
      </w:r>
      <w:r>
        <w:rPr>
          <w:w w:val="100"/>
        </w:rPr>
        <w:t>（2</w:t>
      </w:r>
      <w:r>
        <w:rPr>
          <w:spacing w:val="-3"/>
          <w:w w:val="100"/>
        </w:rPr>
        <w:t>0</w:t>
      </w:r>
      <w:r>
        <w:rPr>
          <w:w w:val="100"/>
        </w:rPr>
        <w:t>16</w:t>
      </w:r>
      <w:r>
        <w:rPr>
          <w:spacing w:val="-73"/>
        </w:rPr>
        <w:t> </w:t>
      </w:r>
      <w:r>
        <w:rPr>
          <w:w w:val="100"/>
        </w:rPr>
        <w:t>版</w:t>
      </w:r>
      <w:r>
        <w:rPr>
          <w:spacing w:val="-140"/>
          <w:w w:val="100"/>
        </w:rPr>
        <w:t>）</w:t>
      </w:r>
      <w:r>
        <w:rPr>
          <w:w w:val="100"/>
        </w:rPr>
        <w:t>；</w:t>
      </w:r>
    </w:p>
    <w:p>
      <w:pPr>
        <w:pStyle w:val="BodyText"/>
        <w:spacing w:before="186"/>
        <w:ind w:left="780"/>
      </w:pPr>
      <w:r>
        <w:rPr>
          <w:spacing w:val="1"/>
          <w:w w:val="100"/>
        </w:rPr>
        <w:t>1</w:t>
      </w:r>
      <w:r>
        <w:rPr>
          <w:spacing w:val="-2"/>
          <w:w w:val="100"/>
        </w:rPr>
        <w:t>5</w:t>
      </w:r>
      <w:r>
        <w:rPr>
          <w:spacing w:val="-31"/>
          <w:w w:val="100"/>
        </w:rPr>
        <w:t>、《重点监管的危险化学品名录》，</w:t>
      </w:r>
      <w:r>
        <w:rPr>
          <w:w w:val="100"/>
        </w:rPr>
        <w:t>（2013</w:t>
      </w:r>
      <w:r>
        <w:rPr>
          <w:spacing w:val="-73"/>
        </w:rPr>
        <w:t> </w:t>
      </w:r>
      <w:r>
        <w:rPr>
          <w:spacing w:val="-1"/>
          <w:w w:val="100"/>
        </w:rPr>
        <w:t>年完整版</w:t>
      </w:r>
      <w:r>
        <w:rPr>
          <w:spacing w:val="-140"/>
          <w:w w:val="100"/>
        </w:rPr>
        <w:t>）</w:t>
      </w:r>
      <w:r>
        <w:rPr>
          <w:w w:val="100"/>
        </w:rPr>
        <w:t>；</w:t>
      </w:r>
    </w:p>
    <w:p>
      <w:pPr>
        <w:pStyle w:val="BodyText"/>
        <w:spacing w:before="186"/>
        <w:ind w:left="780"/>
      </w:pPr>
      <w:r>
        <w:rPr>
          <w:spacing w:val="1"/>
          <w:w w:val="100"/>
        </w:rPr>
        <w:t>1</w:t>
      </w:r>
      <w:r>
        <w:rPr>
          <w:spacing w:val="-2"/>
          <w:w w:val="100"/>
        </w:rPr>
        <w:t>6</w:t>
      </w:r>
      <w:r>
        <w:rPr>
          <w:spacing w:val="-31"/>
          <w:w w:val="100"/>
        </w:rPr>
        <w:t>、《重点监管危险化工工艺目录》，</w:t>
      </w:r>
      <w:r>
        <w:rPr>
          <w:w w:val="100"/>
        </w:rPr>
        <w:t>（2013</w:t>
      </w:r>
      <w:r>
        <w:rPr>
          <w:spacing w:val="-73"/>
        </w:rPr>
        <w:t> </w:t>
      </w:r>
      <w:r>
        <w:rPr>
          <w:spacing w:val="-1"/>
          <w:w w:val="100"/>
        </w:rPr>
        <w:t>年完整版</w:t>
      </w:r>
      <w:r>
        <w:rPr>
          <w:spacing w:val="-140"/>
          <w:w w:val="100"/>
        </w:rPr>
        <w:t>）</w:t>
      </w:r>
      <w:r>
        <w:rPr>
          <w:w w:val="100"/>
        </w:rPr>
        <w:t>；</w:t>
      </w:r>
    </w:p>
    <w:p>
      <w:pPr>
        <w:pStyle w:val="BodyText"/>
        <w:spacing w:before="186"/>
        <w:ind w:left="780"/>
      </w:pPr>
      <w:r>
        <w:rPr>
          <w:spacing w:val="1"/>
          <w:w w:val="100"/>
        </w:rPr>
        <w:t>1</w:t>
      </w:r>
      <w:r>
        <w:rPr>
          <w:spacing w:val="-2"/>
          <w:w w:val="100"/>
        </w:rPr>
        <w:t>7</w:t>
      </w:r>
      <w:r>
        <w:rPr>
          <w:spacing w:val="-20"/>
          <w:w w:val="100"/>
        </w:rPr>
        <w:t>、《化学品环境风险防控“十二五”规划》</w:t>
      </w:r>
      <w:r>
        <w:rPr>
          <w:w w:val="100"/>
        </w:rPr>
        <w:t>（环发[</w:t>
      </w:r>
      <w:r>
        <w:rPr>
          <w:spacing w:val="-3"/>
          <w:w w:val="100"/>
        </w:rPr>
        <w:t>2</w:t>
      </w:r>
      <w:r>
        <w:rPr>
          <w:w w:val="100"/>
        </w:rPr>
        <w:t>0</w:t>
      </w:r>
      <w:r>
        <w:rPr>
          <w:spacing w:val="-3"/>
          <w:w w:val="100"/>
        </w:rPr>
        <w:t>1</w:t>
      </w:r>
      <w:r>
        <w:rPr>
          <w:spacing w:val="1"/>
          <w:w w:val="100"/>
        </w:rPr>
        <w:t>3</w:t>
      </w:r>
      <w:r>
        <w:rPr>
          <w:w w:val="100"/>
        </w:rPr>
        <w:t>]20</w:t>
      </w:r>
      <w:r>
        <w:rPr>
          <w:spacing w:val="-72"/>
        </w:rPr>
        <w:t> </w:t>
      </w:r>
      <w:r>
        <w:rPr>
          <w:w w:val="100"/>
        </w:rPr>
        <w:t>号</w:t>
      </w:r>
      <w:r>
        <w:rPr>
          <w:spacing w:val="-142"/>
          <w:w w:val="100"/>
        </w:rPr>
        <w:t>）</w:t>
      </w:r>
      <w:r>
        <w:rPr>
          <w:w w:val="100"/>
        </w:rPr>
        <w:t>，</w:t>
      </w:r>
    </w:p>
    <w:p>
      <w:pPr>
        <w:pStyle w:val="BodyText"/>
        <w:spacing w:before="186"/>
        <w:ind w:left="221"/>
      </w:pPr>
      <w:r>
        <w:rPr/>
        <w:t>2013 年 2 月 7 日；</w:t>
      </w:r>
    </w:p>
    <w:p>
      <w:pPr>
        <w:pStyle w:val="BodyText"/>
        <w:spacing w:before="186"/>
        <w:ind w:left="780"/>
      </w:pPr>
      <w:r>
        <w:rPr>
          <w:spacing w:val="1"/>
          <w:w w:val="100"/>
        </w:rPr>
        <w:t>1</w:t>
      </w:r>
      <w:r>
        <w:rPr>
          <w:spacing w:val="-2"/>
          <w:w w:val="100"/>
        </w:rPr>
        <w:t>8</w:t>
      </w:r>
      <w:r>
        <w:rPr>
          <w:spacing w:val="-34"/>
          <w:w w:val="100"/>
        </w:rPr>
        <w:t>、《产业结构调整指导目录》，</w:t>
      </w:r>
      <w:r>
        <w:rPr>
          <w:w w:val="100"/>
        </w:rPr>
        <w:t>（2</w:t>
      </w:r>
      <w:r>
        <w:rPr>
          <w:spacing w:val="-3"/>
          <w:w w:val="100"/>
        </w:rPr>
        <w:t>0</w:t>
      </w:r>
      <w:r>
        <w:rPr>
          <w:spacing w:val="1"/>
          <w:w w:val="100"/>
        </w:rPr>
        <w:t>1</w:t>
      </w:r>
      <w:r>
        <w:rPr>
          <w:w w:val="100"/>
        </w:rPr>
        <w:t>3</w:t>
      </w:r>
      <w:r>
        <w:rPr>
          <w:spacing w:val="-72"/>
        </w:rPr>
        <w:t> </w:t>
      </w:r>
      <w:r>
        <w:rPr>
          <w:spacing w:val="-1"/>
          <w:w w:val="100"/>
        </w:rPr>
        <w:t>年完整版</w:t>
      </w:r>
      <w:r>
        <w:rPr>
          <w:spacing w:val="-140"/>
          <w:w w:val="100"/>
        </w:rPr>
        <w:t>）</w:t>
      </w:r>
      <w:r>
        <w:rPr>
          <w:w w:val="100"/>
        </w:rPr>
        <w:t>；</w:t>
      </w:r>
    </w:p>
    <w:p>
      <w:pPr>
        <w:spacing w:after="0"/>
        <w:sectPr>
          <w:pgSz w:w="11910" w:h="16840"/>
          <w:pgMar w:header="0" w:footer="984" w:top="1580" w:bottom="1180" w:left="1480" w:right="1420"/>
        </w:sectPr>
      </w:pPr>
    </w:p>
    <w:p>
      <w:pPr>
        <w:pStyle w:val="BodyText"/>
        <w:spacing w:line="364" w:lineRule="auto" w:before="102"/>
        <w:ind w:left="221" w:right="278" w:firstLine="559"/>
      </w:pPr>
      <w:r>
        <w:rPr/>
        <w:t>19</w:t>
      </w:r>
      <w:r>
        <w:rPr>
          <w:spacing w:val="-17"/>
        </w:rPr>
        <w:t>、《关于进一步加强环境影响评价管理防范环境风险的通知</w:t>
      </w:r>
      <w:r>
        <w:rPr>
          <w:spacing w:val="-228"/>
        </w:rPr>
        <w:t>》</w:t>
      </w:r>
      <w:r>
        <w:rPr>
          <w:spacing w:val="-3"/>
        </w:rPr>
        <w:t>（</w:t>
      </w:r>
      <w:r>
        <w:rPr/>
        <w:t>环</w:t>
      </w:r>
      <w:r>
        <w:rPr>
          <w:w w:val="100"/>
        </w:rPr>
        <w:t>发[20</w:t>
      </w:r>
      <w:r>
        <w:rPr>
          <w:spacing w:val="-3"/>
          <w:w w:val="100"/>
        </w:rPr>
        <w:t>1</w:t>
      </w:r>
      <w:r>
        <w:rPr>
          <w:spacing w:val="1"/>
          <w:w w:val="100"/>
        </w:rPr>
        <w:t>2</w:t>
      </w:r>
      <w:r>
        <w:rPr>
          <w:w w:val="100"/>
        </w:rPr>
        <w:t>]77</w:t>
      </w:r>
      <w:r>
        <w:rPr>
          <w:spacing w:val="-72"/>
        </w:rPr>
        <w:t> </w:t>
      </w:r>
      <w:r>
        <w:rPr>
          <w:w w:val="100"/>
        </w:rPr>
        <w:t>号</w:t>
      </w:r>
      <w:r>
        <w:rPr>
          <w:spacing w:val="-142"/>
          <w:w w:val="100"/>
        </w:rPr>
        <w:t>）</w:t>
      </w:r>
      <w:r>
        <w:rPr>
          <w:w w:val="100"/>
        </w:rPr>
        <w:t>，2</w:t>
      </w:r>
      <w:r>
        <w:rPr>
          <w:spacing w:val="-3"/>
          <w:w w:val="100"/>
        </w:rPr>
        <w:t>0</w:t>
      </w:r>
      <w:r>
        <w:rPr>
          <w:spacing w:val="1"/>
          <w:w w:val="100"/>
        </w:rPr>
        <w:t>1</w:t>
      </w:r>
      <w:r>
        <w:rPr>
          <w:w w:val="100"/>
        </w:rPr>
        <w:t>2</w:t>
      </w:r>
      <w:r>
        <w:rPr>
          <w:spacing w:val="-72"/>
        </w:rPr>
        <w:t> </w:t>
      </w:r>
      <w:r>
        <w:rPr>
          <w:w w:val="100"/>
        </w:rPr>
        <w:t>年</w:t>
      </w:r>
      <w:r>
        <w:rPr>
          <w:spacing w:val="-71"/>
        </w:rPr>
        <w:t> </w:t>
      </w:r>
      <w:r>
        <w:rPr>
          <w:w w:val="100"/>
        </w:rPr>
        <w:t>7</w:t>
      </w:r>
      <w:r>
        <w:rPr>
          <w:spacing w:val="-72"/>
        </w:rPr>
        <w:t> </w:t>
      </w:r>
      <w:r>
        <w:rPr>
          <w:w w:val="100"/>
        </w:rPr>
        <w:t>月</w:t>
      </w:r>
      <w:r>
        <w:rPr>
          <w:spacing w:val="-69"/>
        </w:rPr>
        <w:t> </w:t>
      </w:r>
      <w:r>
        <w:rPr>
          <w:w w:val="100"/>
        </w:rPr>
        <w:t>3</w:t>
      </w:r>
      <w:r>
        <w:rPr>
          <w:spacing w:val="-72"/>
        </w:rPr>
        <w:t> </w:t>
      </w:r>
      <w:r>
        <w:rPr>
          <w:w w:val="100"/>
        </w:rPr>
        <w:t>日；</w:t>
      </w:r>
    </w:p>
    <w:p>
      <w:pPr>
        <w:pStyle w:val="BodyText"/>
        <w:spacing w:line="364" w:lineRule="auto"/>
        <w:ind w:left="221" w:right="273" w:firstLine="559"/>
      </w:pPr>
      <w:r>
        <w:rPr/>
        <w:t>20</w:t>
      </w:r>
      <w:r>
        <w:rPr>
          <w:spacing w:val="-17"/>
        </w:rPr>
        <w:t>、《重点监管的危险化学品安全措施及应急处置原则》</w:t>
      </w:r>
      <w:r>
        <w:rPr/>
        <w:t>（</w:t>
      </w:r>
      <w:r>
        <w:rPr>
          <w:spacing w:val="1"/>
        </w:rPr>
        <w:t>国家安</w:t>
      </w:r>
      <w:r>
        <w:rPr>
          <w:spacing w:val="-2"/>
          <w:w w:val="100"/>
        </w:rPr>
        <w:t>全生产监督管理总局</w:t>
      </w:r>
      <w:r>
        <w:rPr>
          <w:spacing w:val="-140"/>
          <w:w w:val="100"/>
        </w:rPr>
        <w:t>）</w:t>
      </w:r>
      <w:r>
        <w:rPr>
          <w:w w:val="100"/>
        </w:rPr>
        <w:t>；</w:t>
      </w:r>
    </w:p>
    <w:p>
      <w:pPr>
        <w:pStyle w:val="BodyText"/>
        <w:spacing w:line="358" w:lineRule="exact"/>
        <w:ind w:left="780"/>
      </w:pPr>
      <w:r>
        <w:rPr>
          <w:spacing w:val="1"/>
          <w:w w:val="100"/>
        </w:rPr>
        <w:t>2</w:t>
      </w:r>
      <w:r>
        <w:rPr>
          <w:spacing w:val="-2"/>
          <w:w w:val="100"/>
        </w:rPr>
        <w:t>1</w:t>
      </w:r>
      <w:r>
        <w:rPr>
          <w:spacing w:val="-20"/>
          <w:w w:val="100"/>
        </w:rPr>
        <w:t>、《企业突发环境事件风险防范监督管理办法》</w:t>
      </w:r>
      <w:r>
        <w:rPr>
          <w:spacing w:val="-3"/>
          <w:w w:val="100"/>
        </w:rPr>
        <w:t>（</w:t>
      </w:r>
      <w:r>
        <w:rPr>
          <w:spacing w:val="-1"/>
          <w:w w:val="100"/>
        </w:rPr>
        <w:t>征求意见稿</w:t>
      </w:r>
      <w:r>
        <w:rPr>
          <w:spacing w:val="-142"/>
          <w:w w:val="100"/>
        </w:rPr>
        <w:t>）</w:t>
      </w:r>
      <w:r>
        <w:rPr>
          <w:w w:val="100"/>
        </w:rPr>
        <w:t>；</w:t>
      </w:r>
    </w:p>
    <w:p>
      <w:pPr>
        <w:pStyle w:val="BodyText"/>
        <w:spacing w:line="362" w:lineRule="auto" w:before="185"/>
        <w:ind w:left="221" w:right="139" w:firstLine="559"/>
      </w:pPr>
      <w:r>
        <w:rPr/>
        <w:t>22</w:t>
      </w:r>
      <w:r>
        <w:rPr>
          <w:spacing w:val="-17"/>
        </w:rPr>
        <w:t>、《企业事业单位突发环境事件应急预案评审工作指南</w:t>
      </w:r>
      <w:r>
        <w:rPr/>
        <w:t>（</w:t>
      </w:r>
      <w:r>
        <w:rPr>
          <w:spacing w:val="-2"/>
        </w:rPr>
        <w:t>试行</w:t>
      </w:r>
      <w:r>
        <w:rPr>
          <w:spacing w:val="-142"/>
        </w:rPr>
        <w:t>）</w:t>
      </w:r>
      <w:r>
        <w:rPr/>
        <w:t>》环办应急[2018]8</w:t>
      </w:r>
      <w:r>
        <w:rPr>
          <w:spacing w:val="-25"/>
        </w:rPr>
        <w:t> 号；</w:t>
      </w:r>
    </w:p>
    <w:p>
      <w:pPr>
        <w:pStyle w:val="BodyText"/>
        <w:spacing w:before="4"/>
        <w:ind w:left="780"/>
      </w:pPr>
      <w:r>
        <w:rPr/>
        <w:t>23</w:t>
      </w:r>
      <w:r>
        <w:rPr>
          <w:spacing w:val="-18"/>
        </w:rPr>
        <w:t>、《企业突发环境事件风险评估指南</w:t>
      </w:r>
      <w:r>
        <w:rPr/>
        <w:t>（试行</w:t>
      </w:r>
      <w:r>
        <w:rPr>
          <w:spacing w:val="-140"/>
        </w:rPr>
        <w:t>）</w:t>
      </w:r>
      <w:r>
        <w:rPr>
          <w:spacing w:val="-11"/>
        </w:rPr>
        <w:t>》环办[</w:t>
      </w:r>
      <w:r>
        <w:rPr/>
        <w:t>2014]34</w:t>
      </w:r>
      <w:r>
        <w:rPr>
          <w:spacing w:val="-23"/>
        </w:rPr>
        <w:t> 号。</w:t>
      </w:r>
    </w:p>
    <w:p>
      <w:pPr>
        <w:pStyle w:val="ListParagraph"/>
        <w:numPr>
          <w:ilvl w:val="2"/>
          <w:numId w:val="3"/>
        </w:numPr>
        <w:tabs>
          <w:tab w:pos="997" w:val="left" w:leader="none"/>
        </w:tabs>
        <w:spacing w:line="240" w:lineRule="auto" w:before="186" w:after="0"/>
        <w:ind w:left="996" w:right="0" w:hanging="776"/>
        <w:jc w:val="left"/>
        <w:rPr>
          <w:b/>
          <w:sz w:val="28"/>
        </w:rPr>
      </w:pPr>
      <w:r>
        <w:rPr>
          <w:b/>
          <w:sz w:val="28"/>
        </w:rPr>
        <w:t>导则、标准</w:t>
      </w:r>
    </w:p>
    <w:p>
      <w:pPr>
        <w:pStyle w:val="BodyText"/>
        <w:spacing w:before="186"/>
        <w:ind w:left="780"/>
      </w:pPr>
      <w:r>
        <w:rPr/>
        <w:t>1、《突发环境事件应急监测技术规范》(HJ589-2010)。</w:t>
      </w:r>
    </w:p>
    <w:p>
      <w:pPr>
        <w:pStyle w:val="BodyText"/>
        <w:spacing w:before="186"/>
        <w:ind w:left="780"/>
      </w:pPr>
      <w:r>
        <w:rPr/>
        <w:t>2、《危险化学品目录》(2015 年版)；</w:t>
      </w:r>
    </w:p>
    <w:p>
      <w:pPr>
        <w:pStyle w:val="BodyText"/>
        <w:spacing w:before="186"/>
        <w:ind w:left="780"/>
      </w:pPr>
      <w:r>
        <w:rPr/>
        <w:t>3、《危险化学品重大危险源辨识》(GB 18218-2009)；</w:t>
      </w:r>
    </w:p>
    <w:p>
      <w:pPr>
        <w:pStyle w:val="BodyText"/>
        <w:spacing w:before="186"/>
        <w:ind w:left="780"/>
      </w:pPr>
      <w:r>
        <w:rPr/>
        <w:t>4、《建设项目环境风险评价技术导则》(HJ/T 169-2004)；</w:t>
      </w:r>
    </w:p>
    <w:p>
      <w:pPr>
        <w:pStyle w:val="BodyText"/>
        <w:spacing w:before="186"/>
        <w:ind w:left="780"/>
      </w:pPr>
      <w:r>
        <w:rPr/>
        <w:t>5、《环境空气质量标准》(GB3095-2012)；</w:t>
      </w:r>
    </w:p>
    <w:p>
      <w:pPr>
        <w:pStyle w:val="BodyText"/>
        <w:spacing w:before="186"/>
        <w:ind w:left="780"/>
      </w:pPr>
      <w:r>
        <w:rPr/>
        <w:t>6、《工业企业设计卫生标准》(GBZ1-2010)；</w:t>
      </w:r>
    </w:p>
    <w:p>
      <w:pPr>
        <w:pStyle w:val="BodyText"/>
        <w:spacing w:line="364" w:lineRule="auto" w:before="186"/>
        <w:ind w:left="221" w:right="278" w:firstLine="559"/>
      </w:pPr>
      <w:r>
        <w:rPr/>
        <w:t>7</w:t>
      </w:r>
      <w:r>
        <w:rPr>
          <w:spacing w:val="-13"/>
        </w:rPr>
        <w:t>、《建设项目环境影响评价分类管理名录》</w:t>
      </w:r>
      <w:r>
        <w:rPr/>
        <w:t>2017.9.1（2018</w:t>
      </w:r>
      <w:r>
        <w:rPr>
          <w:spacing w:val="-10"/>
        </w:rPr>
        <w:t> 年修</w:t>
      </w:r>
      <w:r>
        <w:rPr>
          <w:spacing w:val="-10"/>
          <w:w w:val="100"/>
        </w:rPr>
        <w:t>订</w:t>
      </w:r>
      <w:r>
        <w:rPr>
          <w:spacing w:val="-140"/>
          <w:w w:val="100"/>
        </w:rPr>
        <w:t>）</w:t>
      </w:r>
      <w:r>
        <w:rPr>
          <w:w w:val="100"/>
        </w:rPr>
        <w:t>；</w:t>
      </w:r>
    </w:p>
    <w:p>
      <w:pPr>
        <w:pStyle w:val="BodyText"/>
        <w:spacing w:line="358" w:lineRule="exact"/>
        <w:ind w:left="780"/>
      </w:pPr>
      <w:r>
        <w:rPr/>
        <w:t>8、《地表水环境质量标准》(GB3838-2002)；</w:t>
      </w:r>
    </w:p>
    <w:p>
      <w:pPr>
        <w:pStyle w:val="BodyText"/>
        <w:spacing w:before="186"/>
        <w:ind w:left="780"/>
      </w:pPr>
      <w:r>
        <w:rPr/>
        <w:t>9、《地下水质量标准》(GB/T14848-93)；</w:t>
      </w:r>
    </w:p>
    <w:p>
      <w:pPr>
        <w:pStyle w:val="BodyText"/>
        <w:spacing w:before="186"/>
        <w:ind w:left="780"/>
      </w:pPr>
      <w:r>
        <w:rPr/>
        <w:t>10、《土壤环境质量标准》(GB15618-1995)；</w:t>
      </w:r>
    </w:p>
    <w:p>
      <w:pPr>
        <w:pStyle w:val="BodyText"/>
        <w:spacing w:before="186"/>
        <w:ind w:left="780"/>
      </w:pPr>
      <w:r>
        <w:rPr/>
        <w:t>11、《大气污染物综合排放标准》(GB16297-1996)。</w:t>
      </w:r>
    </w:p>
    <w:p>
      <w:pPr>
        <w:pStyle w:val="ListParagraph"/>
        <w:numPr>
          <w:ilvl w:val="2"/>
          <w:numId w:val="3"/>
        </w:numPr>
        <w:tabs>
          <w:tab w:pos="997" w:val="left" w:leader="none"/>
        </w:tabs>
        <w:spacing w:line="240" w:lineRule="auto" w:before="187" w:after="0"/>
        <w:ind w:left="996" w:right="0" w:hanging="776"/>
        <w:jc w:val="left"/>
        <w:rPr>
          <w:b/>
          <w:sz w:val="28"/>
        </w:rPr>
      </w:pPr>
      <w:r>
        <w:rPr>
          <w:b/>
          <w:sz w:val="28"/>
        </w:rPr>
        <w:t>各级预案及相关专项预案</w:t>
      </w:r>
    </w:p>
    <w:p>
      <w:pPr>
        <w:pStyle w:val="BodyText"/>
        <w:spacing w:before="186"/>
        <w:ind w:left="780"/>
      </w:pPr>
      <w:r>
        <w:rPr/>
        <w:t>1、《国家突发公共事件总体应急预案》(2006.1.8 起施行)；</w:t>
      </w:r>
    </w:p>
    <w:p>
      <w:pPr>
        <w:pStyle w:val="BodyText"/>
        <w:spacing w:before="186"/>
        <w:ind w:left="780"/>
      </w:pPr>
      <w:r>
        <w:rPr/>
        <w:t>2、《国家突发环境事件应急预案》(2006.1.24 起施行)；</w:t>
      </w:r>
    </w:p>
    <w:p>
      <w:pPr>
        <w:pStyle w:val="BodyText"/>
        <w:spacing w:before="186"/>
        <w:ind w:left="780"/>
      </w:pPr>
      <w:r>
        <w:rPr/>
        <w:t>3、《山东省突发事件总体应急预案》(2012.2.6 起施行)；</w:t>
      </w:r>
    </w:p>
    <w:p>
      <w:pPr>
        <w:spacing w:after="0"/>
        <w:sectPr>
          <w:pgSz w:w="11910" w:h="16840"/>
          <w:pgMar w:header="0" w:footer="984" w:top="1580" w:bottom="1180" w:left="1480" w:right="1420"/>
        </w:sectPr>
      </w:pPr>
    </w:p>
    <w:p>
      <w:pPr>
        <w:pStyle w:val="BodyText"/>
        <w:spacing w:before="102"/>
        <w:ind w:left="780"/>
      </w:pPr>
      <w:r>
        <w:rPr/>
        <w:t>4、《山东省突发环境事件总体应急预案》(2013.1.1 起施行)；</w:t>
      </w:r>
    </w:p>
    <w:p>
      <w:pPr>
        <w:pStyle w:val="BodyText"/>
        <w:spacing w:before="186"/>
        <w:ind w:left="780"/>
      </w:pPr>
      <w:r>
        <w:rPr/>
        <w:t>5、《潍坊市突发事件总体应急预案》；</w:t>
      </w:r>
    </w:p>
    <w:p>
      <w:pPr>
        <w:pStyle w:val="BodyText"/>
        <w:spacing w:before="186"/>
        <w:ind w:left="780"/>
      </w:pPr>
      <w:r>
        <w:rPr/>
        <w:t>6、《潍坊市环境保护局突发环境事件应急预案》；</w:t>
      </w:r>
    </w:p>
    <w:p>
      <w:pPr>
        <w:pStyle w:val="BodyText"/>
        <w:spacing w:before="186"/>
        <w:ind w:left="780"/>
      </w:pPr>
      <w:r>
        <w:rPr/>
        <w:t>7、《潍坊滨海经济开发区环境突发事件应急预案》。</w:t>
      </w:r>
    </w:p>
    <w:p>
      <w:pPr>
        <w:pStyle w:val="ListParagraph"/>
        <w:numPr>
          <w:ilvl w:val="1"/>
          <w:numId w:val="3"/>
        </w:numPr>
        <w:tabs>
          <w:tab w:pos="717" w:val="left" w:leader="none"/>
        </w:tabs>
        <w:spacing w:line="240" w:lineRule="auto" w:before="186" w:after="0"/>
        <w:ind w:left="716" w:right="0" w:hanging="496"/>
        <w:jc w:val="left"/>
        <w:rPr>
          <w:b/>
          <w:sz w:val="28"/>
        </w:rPr>
      </w:pPr>
      <w:bookmarkStart w:name="_TOC_250064" w:id="4"/>
      <w:bookmarkEnd w:id="4"/>
      <w:r>
        <w:rPr>
          <w:b/>
          <w:sz w:val="28"/>
        </w:rPr>
        <w:t>应急预案的适用范围</w:t>
      </w:r>
    </w:p>
    <w:p>
      <w:pPr>
        <w:pStyle w:val="BodyText"/>
        <w:spacing w:line="362" w:lineRule="auto" w:before="186"/>
        <w:ind w:left="221" w:right="276" w:firstLine="559"/>
      </w:pPr>
      <w:r>
        <w:rPr/>
        <w:t>本预案适用于潍坊中汇化工有限公司内发生的人为或不可抗拒的自然因素造成的突发性环境污染事故的控制和处置。</w:t>
      </w:r>
    </w:p>
    <w:p>
      <w:pPr>
        <w:pStyle w:val="BodyText"/>
        <w:spacing w:before="4"/>
        <w:ind w:left="780"/>
      </w:pPr>
      <w:r>
        <w:rPr/>
        <w:t>具体包括：</w:t>
      </w:r>
    </w:p>
    <w:p>
      <w:pPr>
        <w:pStyle w:val="BodyText"/>
        <w:spacing w:line="364" w:lineRule="auto" w:before="186"/>
        <w:ind w:left="221" w:right="276" w:firstLine="559"/>
        <w:jc w:val="both"/>
      </w:pPr>
      <w:r>
        <w:rPr/>
        <w:t>危险化学品及其它有毒有害物品在生产、贮存、运输、使用和处置过程中发生的爆炸、燃烧、大面积泄漏、中毒等事故。生产过程中因生产装置、污染防治设施、设备等因素发生意外或人为事故造成的突发性环境污染事故。因自然灾害造成的危及人体健康的环境污染事故。其他可能危及职工及周围群众生命财产和环境安全的环境污染事件。</w:t>
      </w:r>
    </w:p>
    <w:p>
      <w:pPr>
        <w:pStyle w:val="ListParagraph"/>
        <w:numPr>
          <w:ilvl w:val="1"/>
          <w:numId w:val="3"/>
        </w:numPr>
        <w:tabs>
          <w:tab w:pos="717" w:val="left" w:leader="none"/>
        </w:tabs>
        <w:spacing w:line="356" w:lineRule="exact" w:before="0" w:after="0"/>
        <w:ind w:left="716" w:right="0" w:hanging="496"/>
        <w:jc w:val="both"/>
        <w:rPr>
          <w:b/>
          <w:sz w:val="28"/>
        </w:rPr>
      </w:pPr>
      <w:bookmarkStart w:name="_TOC_250063" w:id="5"/>
      <w:bookmarkEnd w:id="5"/>
      <w:r>
        <w:rPr>
          <w:b/>
          <w:sz w:val="28"/>
        </w:rPr>
        <w:t>突发环境事件分级标准</w:t>
      </w:r>
    </w:p>
    <w:p>
      <w:pPr>
        <w:pStyle w:val="BodyText"/>
        <w:spacing w:line="364" w:lineRule="auto" w:before="186"/>
        <w:ind w:left="221" w:right="273" w:firstLine="559"/>
        <w:jc w:val="both"/>
      </w:pPr>
      <w:r>
        <w:rPr>
          <w:spacing w:val="-9"/>
        </w:rPr>
        <w:t>《突发环境事件信息报告办法》(环境保护部第 </w:t>
      </w:r>
      <w:r>
        <w:rPr/>
        <w:t>17</w:t>
      </w:r>
      <w:r>
        <w:rPr>
          <w:spacing w:val="-11"/>
        </w:rPr>
        <w:t> 号令)附录规定</w:t>
      </w:r>
      <w:r>
        <w:rPr>
          <w:spacing w:val="-7"/>
        </w:rPr>
        <w:t>突发环境事件分级标准为特别重大</w:t>
      </w:r>
      <w:r>
        <w:rPr/>
        <w:t>(I</w:t>
      </w:r>
      <w:r>
        <w:rPr>
          <w:spacing w:val="-19"/>
        </w:rPr>
        <w:t> 级)、重大(</w:t>
      </w:r>
      <w:r>
        <w:rPr/>
        <w:t>II</w:t>
      </w:r>
      <w:r>
        <w:rPr>
          <w:spacing w:val="-18"/>
        </w:rPr>
        <w:t> 级)、较大(</w:t>
      </w:r>
      <w:r>
        <w:rPr/>
        <w:t>III</w:t>
      </w:r>
      <w:r>
        <w:rPr>
          <w:spacing w:val="-23"/>
        </w:rPr>
        <w:t> 级) 和一般(IV</w:t>
      </w:r>
      <w:r>
        <w:rPr>
          <w:spacing w:val="-16"/>
        </w:rPr>
        <w:t> 级)四级。结合企业实际情况，突发环境事件分为 </w:t>
      </w:r>
      <w:r>
        <w:rPr/>
        <w:t>4</w:t>
      </w:r>
      <w:r>
        <w:rPr>
          <w:spacing w:val="-50"/>
        </w:rPr>
        <w:t> 级，《办</w:t>
      </w:r>
      <w:r>
        <w:rPr>
          <w:spacing w:val="-18"/>
        </w:rPr>
        <w:t>法》中分级条件如下：</w:t>
      </w:r>
    </w:p>
    <w:p>
      <w:pPr>
        <w:pStyle w:val="BodyText"/>
        <w:spacing w:line="357" w:lineRule="exact"/>
        <w:ind w:left="780"/>
      </w:pPr>
      <w:r>
        <w:rPr/>
        <w:t>1、特别重大(I 级)突发环境事件</w:t>
      </w:r>
    </w:p>
    <w:p>
      <w:pPr>
        <w:pStyle w:val="BodyText"/>
        <w:spacing w:line="364" w:lineRule="auto" w:before="186"/>
        <w:ind w:left="221" w:right="276" w:firstLine="559"/>
        <w:jc w:val="both"/>
      </w:pPr>
      <w:r>
        <w:rPr>
          <w:spacing w:val="-10"/>
        </w:rPr>
        <w:t>因环境污染直接导致 </w:t>
      </w:r>
      <w:r>
        <w:rPr/>
        <w:t>10</w:t>
      </w:r>
      <w:r>
        <w:rPr>
          <w:spacing w:val="-19"/>
        </w:rPr>
        <w:t> 人以上死亡或 </w:t>
      </w:r>
      <w:r>
        <w:rPr/>
        <w:t>100</w:t>
      </w:r>
      <w:r>
        <w:rPr>
          <w:spacing w:val="-14"/>
        </w:rPr>
        <w:t> 人以上中毒的；因环境污染需疏散、转移群众 </w:t>
      </w:r>
      <w:r>
        <w:rPr/>
        <w:t>5</w:t>
      </w:r>
      <w:r>
        <w:rPr>
          <w:spacing w:val="-16"/>
        </w:rPr>
        <w:t> 万人以上的；因环境污染造成直接经济损失 </w:t>
      </w:r>
      <w:r>
        <w:rPr/>
        <w:t>1 亿元以上的；因环境污染造成区域生态功能丧失或国家重点保护物种灭绝的；因环境污染造成地市级以上城市集中式饮用水水源地取水中断的；1、2</w:t>
      </w:r>
      <w:r>
        <w:rPr>
          <w:spacing w:val="-6"/>
        </w:rPr>
        <w:t> 类放射源失控造成大范围严重辐射污染后果的；跨国界突</w:t>
      </w:r>
    </w:p>
    <w:p>
      <w:pPr>
        <w:spacing w:after="0" w:line="364" w:lineRule="auto"/>
        <w:jc w:val="both"/>
        <w:sectPr>
          <w:pgSz w:w="11910" w:h="16840"/>
          <w:pgMar w:header="0" w:footer="984" w:top="1580" w:bottom="1180" w:left="1480" w:right="1420"/>
        </w:sectPr>
      </w:pPr>
    </w:p>
    <w:p>
      <w:pPr>
        <w:pStyle w:val="BodyText"/>
        <w:spacing w:before="102"/>
        <w:ind w:left="221"/>
      </w:pPr>
      <w:r>
        <w:rPr/>
        <w:t>发环境事件。</w:t>
      </w:r>
    </w:p>
    <w:p>
      <w:pPr>
        <w:pStyle w:val="BodyText"/>
        <w:spacing w:before="186"/>
        <w:ind w:left="780"/>
      </w:pPr>
      <w:r>
        <w:rPr/>
        <w:t>2、重大(II 级)突发环境事件</w:t>
      </w:r>
    </w:p>
    <w:p>
      <w:pPr>
        <w:pStyle w:val="BodyText"/>
        <w:spacing w:line="364" w:lineRule="auto" w:before="186"/>
        <w:ind w:left="221" w:right="134" w:firstLine="559"/>
      </w:pPr>
      <w:r>
        <w:rPr>
          <w:spacing w:val="-9"/>
        </w:rPr>
        <w:t>因环境污染直接导致 </w:t>
      </w:r>
      <w:r>
        <w:rPr/>
        <w:t>3</w:t>
      </w:r>
      <w:r>
        <w:rPr>
          <w:spacing w:val="-23"/>
        </w:rPr>
        <w:t> 人以上 </w:t>
      </w:r>
      <w:r>
        <w:rPr/>
        <w:t>10</w:t>
      </w:r>
      <w:r>
        <w:rPr>
          <w:spacing w:val="-17"/>
        </w:rPr>
        <w:t> 人以下死亡或 </w:t>
      </w:r>
      <w:r>
        <w:rPr/>
        <w:t>50</w:t>
      </w:r>
      <w:r>
        <w:rPr>
          <w:spacing w:val="-24"/>
        </w:rPr>
        <w:t> 人以上 </w:t>
      </w:r>
      <w:r>
        <w:rPr/>
        <w:t>100</w:t>
      </w:r>
      <w:r>
        <w:rPr>
          <w:spacing w:val="-28"/>
        </w:rPr>
        <w:t> 人</w:t>
      </w:r>
      <w:r>
        <w:rPr>
          <w:spacing w:val="-9"/>
        </w:rPr>
        <w:t>以下中毒的；因环境污染需疏散、转移群众</w:t>
      </w:r>
      <w:r>
        <w:rPr/>
        <w:t>I</w:t>
      </w:r>
      <w:r>
        <w:rPr>
          <w:spacing w:val="-23"/>
        </w:rPr>
        <w:t> 万人以上 </w:t>
      </w:r>
      <w:r>
        <w:rPr/>
        <w:t>5</w:t>
      </w:r>
      <w:r>
        <w:rPr>
          <w:spacing w:val="-13"/>
        </w:rPr>
        <w:t> 万人以下的； </w:t>
      </w:r>
      <w:r>
        <w:rPr>
          <w:spacing w:val="-8"/>
        </w:rPr>
        <w:t>因环境污染造成直接经济损失 </w:t>
      </w:r>
      <w:r>
        <w:rPr/>
        <w:t>2000</w:t>
      </w:r>
      <w:r>
        <w:rPr>
          <w:spacing w:val="-24"/>
        </w:rPr>
        <w:t> 万元以上 </w:t>
      </w:r>
      <w:r>
        <w:rPr/>
        <w:t>1</w:t>
      </w:r>
      <w:r>
        <w:rPr>
          <w:spacing w:val="-12"/>
        </w:rPr>
        <w:t> 亿元以下的；因环境污</w:t>
      </w:r>
      <w:r>
        <w:rPr>
          <w:spacing w:val="-3"/>
        </w:rPr>
        <w:t>染造成区域生态功能部分丧失或国家重点保护野生动植物种群大批死</w:t>
      </w:r>
      <w:r>
        <w:rPr/>
        <w:t>亡的；因环境污染造成县级城市集中式饮用水水源地取水中断的；重金属污染或危险化学品生产、贮运、使用过程中发生爆炸、泄露等事件，或因倾倒、堆放、丢弃、遗撒危险废物等造成的突发环境事件发生在国家重点流域、国家级自然保护区、风景名胜区或区民聚集区、</w:t>
      </w:r>
      <w:r>
        <w:rPr>
          <w:spacing w:val="-3"/>
        </w:rPr>
        <w:t>医院、学校等敏感区域的；</w:t>
      </w:r>
      <w:r>
        <w:rPr/>
        <w:t>1、2</w:t>
      </w:r>
      <w:r>
        <w:rPr>
          <w:spacing w:val="-7"/>
        </w:rPr>
        <w:t> 类放射源丢失、被盗、失控造成环境</w:t>
      </w:r>
      <w:r>
        <w:rPr>
          <w:spacing w:val="-8"/>
        </w:rPr>
        <w:t>影响，或核设施和铀矿冶炼设施发生的达到进入场区应急状态标准的， </w:t>
      </w:r>
      <w:r>
        <w:rPr>
          <w:spacing w:val="-5"/>
        </w:rPr>
        <w:t>或进口货物严重辐射超标的事件；跨省(区、市)界突发环境事件。</w:t>
      </w:r>
    </w:p>
    <w:p>
      <w:pPr>
        <w:pStyle w:val="BodyText"/>
        <w:spacing w:line="351" w:lineRule="exact"/>
        <w:ind w:left="780"/>
      </w:pPr>
      <w:r>
        <w:rPr/>
        <w:t>3、较大(III 级)突发环境事件</w:t>
      </w:r>
    </w:p>
    <w:p>
      <w:pPr>
        <w:pStyle w:val="BodyText"/>
        <w:spacing w:line="364" w:lineRule="auto" w:before="186"/>
        <w:ind w:left="221" w:right="139" w:firstLine="559"/>
      </w:pPr>
      <w:r>
        <w:rPr>
          <w:spacing w:val="-10"/>
        </w:rPr>
        <w:t>因环境污染直接导致 </w:t>
      </w:r>
      <w:r>
        <w:rPr/>
        <w:t>3</w:t>
      </w:r>
      <w:r>
        <w:rPr>
          <w:spacing w:val="-20"/>
        </w:rPr>
        <w:t> 人以下死亡或 </w:t>
      </w:r>
      <w:r>
        <w:rPr/>
        <w:t>10</w:t>
      </w:r>
      <w:r>
        <w:rPr>
          <w:spacing w:val="-30"/>
        </w:rPr>
        <w:t> 人以上 </w:t>
      </w:r>
      <w:r>
        <w:rPr/>
        <w:t>50</w:t>
      </w:r>
      <w:r>
        <w:rPr>
          <w:spacing w:val="-13"/>
        </w:rPr>
        <w:t> 人以下中毒的； </w:t>
      </w:r>
      <w:r>
        <w:rPr>
          <w:spacing w:val="-14"/>
        </w:rPr>
        <w:t>因环境污染需疏散、转移群众 </w:t>
      </w:r>
      <w:r>
        <w:rPr/>
        <w:t>5000</w:t>
      </w:r>
      <w:r>
        <w:rPr>
          <w:spacing w:val="-28"/>
        </w:rPr>
        <w:t> 人以上 </w:t>
      </w:r>
      <w:r>
        <w:rPr/>
        <w:t>1</w:t>
      </w:r>
      <w:r>
        <w:rPr>
          <w:spacing w:val="-10"/>
        </w:rPr>
        <w:t> 万人以下的；因环境污染</w:t>
      </w:r>
      <w:r>
        <w:rPr>
          <w:spacing w:val="-13"/>
        </w:rPr>
        <w:t>造成直接经济损失 </w:t>
      </w:r>
      <w:r>
        <w:rPr/>
        <w:t>500</w:t>
      </w:r>
      <w:r>
        <w:rPr>
          <w:spacing w:val="-24"/>
        </w:rPr>
        <w:t> 万元以上 </w:t>
      </w:r>
      <w:r>
        <w:rPr/>
        <w:t>2000</w:t>
      </w:r>
      <w:r>
        <w:rPr>
          <w:spacing w:val="-11"/>
        </w:rPr>
        <w:t> 万元以下的；因环境污染造成国</w:t>
      </w:r>
      <w:r>
        <w:rPr>
          <w:spacing w:val="-3"/>
        </w:rPr>
        <w:t>家重点保护的动植物物种受到破坏的；因环境污染造成乡镇集中式饮</w:t>
      </w:r>
      <w:r>
        <w:rPr>
          <w:spacing w:val="-5"/>
        </w:rPr>
        <w:t>用水水源地取水中断的；</w:t>
      </w:r>
      <w:r>
        <w:rPr>
          <w:spacing w:val="-19"/>
        </w:rPr>
        <w:t>3</w:t>
      </w:r>
      <w:r>
        <w:rPr>
          <w:spacing w:val="-14"/>
        </w:rPr>
        <w:t> 类放射源丢失、被盗或失控，造成环境影响</w:t>
      </w:r>
      <w:r>
        <w:rPr>
          <w:spacing w:val="-8"/>
        </w:rPr>
        <w:t>的；跨地市界突发环境事件。</w:t>
      </w:r>
    </w:p>
    <w:p>
      <w:pPr>
        <w:pStyle w:val="BodyText"/>
        <w:spacing w:line="356" w:lineRule="exact"/>
        <w:ind w:left="780"/>
      </w:pPr>
      <w:r>
        <w:rPr/>
        <w:t>4、一般(IV 级)突发环境事件</w:t>
      </w:r>
    </w:p>
    <w:p>
      <w:pPr>
        <w:pStyle w:val="BodyText"/>
        <w:spacing w:line="364" w:lineRule="auto" w:before="186"/>
        <w:ind w:left="221" w:right="276" w:firstLine="559"/>
      </w:pPr>
      <w:r>
        <w:rPr/>
        <w:t>除特别重大突发环境事件、重大突发环境事件、较大突发环境事件以外的突发环境事件。</w:t>
      </w:r>
    </w:p>
    <w:p>
      <w:pPr>
        <w:pStyle w:val="BodyText"/>
        <w:spacing w:line="364" w:lineRule="auto"/>
        <w:ind w:left="221" w:right="276" w:firstLine="700"/>
      </w:pPr>
      <w:r>
        <w:rPr>
          <w:spacing w:val="-5"/>
        </w:rPr>
        <w:t>潍坊中汇化工有限公司突发环境事件分级与《突发环境事件信息</w:t>
      </w:r>
      <w:r>
        <w:rPr>
          <w:spacing w:val="-13"/>
        </w:rPr>
        <w:t>报告办法》(环境保护部第 </w:t>
      </w:r>
      <w:r>
        <w:rPr/>
        <w:t>17</w:t>
      </w:r>
      <w:r>
        <w:rPr>
          <w:spacing w:val="-10"/>
        </w:rPr>
        <w:t> 号令)附录规定突发环境事件分级标准相</w:t>
      </w:r>
    </w:p>
    <w:p>
      <w:pPr>
        <w:spacing w:after="0" w:line="364" w:lineRule="auto"/>
        <w:sectPr>
          <w:pgSz w:w="11910" w:h="16840"/>
          <w:pgMar w:header="0" w:footer="984" w:top="1580" w:bottom="1180" w:left="1480" w:right="1420"/>
        </w:sectPr>
      </w:pPr>
    </w:p>
    <w:p>
      <w:pPr>
        <w:pStyle w:val="BodyText"/>
        <w:spacing w:before="102"/>
        <w:ind w:left="221"/>
      </w:pPr>
      <w:r>
        <w:rPr/>
        <w:t>同。</w:t>
      </w:r>
    </w:p>
    <w:p>
      <w:pPr>
        <w:pStyle w:val="ListParagraph"/>
        <w:numPr>
          <w:ilvl w:val="1"/>
          <w:numId w:val="3"/>
        </w:numPr>
        <w:tabs>
          <w:tab w:pos="717" w:val="left" w:leader="none"/>
        </w:tabs>
        <w:spacing w:line="240" w:lineRule="auto" w:before="186" w:after="0"/>
        <w:ind w:left="716" w:right="0" w:hanging="496"/>
        <w:jc w:val="left"/>
        <w:rPr>
          <w:b/>
          <w:sz w:val="28"/>
        </w:rPr>
      </w:pPr>
      <w:bookmarkStart w:name="_TOC_250062" w:id="6"/>
      <w:bookmarkEnd w:id="6"/>
      <w:r>
        <w:rPr>
          <w:b/>
          <w:sz w:val="28"/>
        </w:rPr>
        <w:t>编制要求与工作原则</w:t>
      </w:r>
    </w:p>
    <w:p>
      <w:pPr>
        <w:pStyle w:val="ListParagraph"/>
        <w:numPr>
          <w:ilvl w:val="2"/>
          <w:numId w:val="3"/>
        </w:numPr>
        <w:tabs>
          <w:tab w:pos="1278" w:val="left" w:leader="none"/>
        </w:tabs>
        <w:spacing w:line="240" w:lineRule="auto" w:before="186" w:after="0"/>
        <w:ind w:left="1277" w:right="0" w:hanging="776"/>
        <w:jc w:val="left"/>
        <w:rPr>
          <w:b/>
          <w:sz w:val="28"/>
        </w:rPr>
      </w:pPr>
      <w:r>
        <w:rPr>
          <w:b/>
          <w:sz w:val="28"/>
        </w:rPr>
        <w:t>编制要求</w:t>
      </w:r>
    </w:p>
    <w:p>
      <w:pPr>
        <w:pStyle w:val="BodyText"/>
        <w:spacing w:line="364" w:lineRule="auto" w:before="186"/>
        <w:ind w:left="221" w:right="139" w:firstLine="559"/>
        <w:jc w:val="both"/>
      </w:pPr>
      <w:r>
        <w:rPr/>
        <w:t>预案编制符合国家相关法律、法规、规章、标准和编制指南等规定；符合本地区和本单位突发环境事件应急工作实际；建立在环境敏感点分析基础上，与环境风险分析和突发环境事件应急能力相适应； 应急人员职责分工明确、责任落实到位；预防措施和应急程序明确具体、操作性强；应急保障措施明确，并能满足本地区和本单位应急工</w:t>
      </w:r>
      <w:r>
        <w:rPr>
          <w:spacing w:val="-7"/>
        </w:rPr>
        <w:t>作要求；预案基本要素完整，附件信息正确；与相关应急预案相衔接。</w:t>
      </w:r>
    </w:p>
    <w:p>
      <w:pPr>
        <w:pStyle w:val="ListParagraph"/>
        <w:numPr>
          <w:ilvl w:val="2"/>
          <w:numId w:val="3"/>
        </w:numPr>
        <w:tabs>
          <w:tab w:pos="1278" w:val="left" w:leader="none"/>
        </w:tabs>
        <w:spacing w:line="353" w:lineRule="exact" w:before="0" w:after="0"/>
        <w:ind w:left="1277" w:right="0" w:hanging="776"/>
        <w:jc w:val="left"/>
        <w:rPr>
          <w:b/>
          <w:sz w:val="28"/>
        </w:rPr>
      </w:pPr>
      <w:r>
        <w:rPr>
          <w:b/>
          <w:sz w:val="28"/>
        </w:rPr>
        <w:t>编制工作原则</w:t>
      </w:r>
    </w:p>
    <w:p>
      <w:pPr>
        <w:pStyle w:val="BodyText"/>
        <w:spacing w:line="364" w:lineRule="auto" w:before="186"/>
        <w:ind w:left="221" w:right="134" w:firstLine="559"/>
      </w:pPr>
      <w:r>
        <w:rPr/>
        <w:t>在建立突发性环境污染事故应急系统及其响应程序时，应本着实</w:t>
      </w:r>
      <w:r>
        <w:rPr>
          <w:spacing w:val="-7"/>
        </w:rPr>
        <w:t>事求是、切实可行的方针，贯彻如下原则：预防为主、常备不懈原则； </w:t>
      </w:r>
      <w:r>
        <w:rPr/>
        <w:t>统一领导、部门联动原则；分级负责、协调配合原则；充分利用外部</w:t>
      </w:r>
      <w:r>
        <w:rPr>
          <w:spacing w:val="-1"/>
        </w:rPr>
        <w:t>资源的原则。</w:t>
      </w:r>
    </w:p>
    <w:p>
      <w:pPr>
        <w:pStyle w:val="ListParagraph"/>
        <w:numPr>
          <w:ilvl w:val="1"/>
          <w:numId w:val="3"/>
        </w:numPr>
        <w:tabs>
          <w:tab w:pos="717" w:val="left" w:leader="none"/>
        </w:tabs>
        <w:spacing w:line="364" w:lineRule="auto" w:before="0" w:after="0"/>
        <w:ind w:left="780" w:right="4634" w:hanging="560"/>
        <w:jc w:val="left"/>
        <w:rPr>
          <w:sz w:val="28"/>
        </w:rPr>
      </w:pPr>
      <w:r>
        <w:rPr>
          <w:b/>
          <w:spacing w:val="-2"/>
          <w:sz w:val="28"/>
        </w:rPr>
        <w:t>突发环境事件应急预案的组成</w:t>
      </w:r>
      <w:r>
        <w:rPr>
          <w:sz w:val="28"/>
        </w:rPr>
        <w:t>1、原则</w:t>
      </w:r>
    </w:p>
    <w:p>
      <w:pPr>
        <w:pStyle w:val="BodyText"/>
        <w:spacing w:line="364" w:lineRule="auto"/>
        <w:ind w:left="221" w:right="276" w:firstLine="559"/>
        <w:jc w:val="both"/>
      </w:pPr>
      <w:r>
        <w:rPr/>
        <w:t>预案体系构成合理，以现场处置预案为主，确有必要编制综合预案、专项预案，且定位清晰、有机衔接；预案整体定位清晰，与内部生产安全事故预案等其他预案清晰界定、相互支持，与地方人民政府环境应急预案有机衔接。</w:t>
      </w:r>
    </w:p>
    <w:p>
      <w:pPr>
        <w:pStyle w:val="BodyText"/>
        <w:spacing w:line="357" w:lineRule="exact"/>
        <w:ind w:left="780"/>
      </w:pPr>
      <w:r>
        <w:rPr/>
        <w:t>2、组成</w:t>
      </w:r>
    </w:p>
    <w:p>
      <w:pPr>
        <w:pStyle w:val="BodyText"/>
        <w:spacing w:line="364" w:lineRule="auto" w:before="183"/>
        <w:ind w:left="221" w:right="276" w:firstLine="559"/>
        <w:jc w:val="both"/>
      </w:pPr>
      <w:r>
        <w:rPr/>
        <w:t>本突发事件环境应急预案是我司根据上级相关部门要求编制，包括了综合环境应急预案和现场处置预案。综合环境应急预案是针对环境风险种类较多、可能发生多种类型突发事件制定的应急预案，包括应急组织机构及职责、预案体系及响应程序、事件预防及应急保障、</w:t>
      </w:r>
    </w:p>
    <w:p>
      <w:pPr>
        <w:spacing w:after="0" w:line="364" w:lineRule="auto"/>
        <w:jc w:val="both"/>
        <w:sectPr>
          <w:pgSz w:w="11910" w:h="16840"/>
          <w:pgMar w:header="0" w:footer="984" w:top="1580" w:bottom="1180" w:left="1480" w:right="1420"/>
        </w:sectPr>
      </w:pPr>
    </w:p>
    <w:p>
      <w:pPr>
        <w:pStyle w:val="BodyText"/>
        <w:spacing w:line="364" w:lineRule="auto" w:before="102"/>
        <w:ind w:left="221" w:right="136"/>
      </w:pPr>
      <w:r>
        <w:rPr/>
        <w:t>应急培训及预案演练等内容。现场处置预案是针对危险性较大的重点</w:t>
      </w:r>
      <w:r>
        <w:rPr>
          <w:spacing w:val="-6"/>
        </w:rPr>
        <w:t>岗位或物质制定的应急预案，包括危险性分析、可能发生的事件特征、</w:t>
      </w:r>
      <w:r>
        <w:rPr>
          <w:spacing w:val="-1"/>
        </w:rPr>
        <w:t>应急处置程序、应急处置要点和注意事项等内容。综合应急预案是总</w:t>
      </w:r>
      <w:r>
        <w:rPr/>
        <w:t>体性应急预案，现场处置预案是针对某一物质的具体预案，综合环境</w:t>
      </w:r>
      <w:r>
        <w:rPr>
          <w:spacing w:val="-3"/>
        </w:rPr>
        <w:t>应急预案和现场处置预案之间相互协调、互为补充完善。</w:t>
      </w:r>
    </w:p>
    <w:p>
      <w:pPr>
        <w:pStyle w:val="BodyText"/>
        <w:spacing w:line="364" w:lineRule="auto"/>
        <w:ind w:left="221" w:right="276" w:firstLine="559"/>
        <w:jc w:val="both"/>
      </w:pPr>
      <w:r>
        <w:rPr/>
        <w:pict>
          <v:shape style="position:absolute;margin-left:203.639999pt;margin-top:269.24646pt;width:21.4pt;height:6pt;mso-position-horizontal-relative:page;mso-position-vertical-relative:paragraph;z-index:251669504" coordorigin="4073,5385" coordsize="428,120" path="m4380,5385l4380,5505,4486,5452,4402,5452,4406,5450,4409,5445,4406,5440,4402,5438,4486,5438,4380,5385xm4380,5438l4080,5438,4075,5440,4073,5445,4075,5450,4080,5452,4380,5452,4380,5438xm4486,5438l4402,5438,4406,5440,4409,5445,4406,5450,4402,5452,4486,5452,4500,5445,4486,5438xe" filled="true" fillcolor="#000000" stroked="false">
            <v:path arrowok="t"/>
            <v:fill type="solid"/>
            <w10:wrap type="none"/>
          </v:shape>
        </w:pict>
      </w:r>
      <w:r>
        <w:rPr/>
        <w:t>制订了危险化学品安全管理制度、环境保护管理制度、应急救援管理制度、安全生产奖惩制度等一系列安全、环保制度，同时形成了以柴油泄漏应急预案、火灾应急预案等为主要内容的应急预案体系。专项应急预案体系的形成完善了环境应急预案体系，提高了公司对突发环境事件的应急处置能力，使事故发生后能迅速得到有效控制，保障公司员工身体健康与生命、财产安全，最大限度降低突发环境事件对周边环境的危害。</w:t>
      </w:r>
    </w:p>
    <w:p>
      <w:pPr>
        <w:pStyle w:val="BodyText"/>
        <w:spacing w:before="1"/>
        <w:rPr>
          <w:sz w:val="21"/>
        </w:rPr>
      </w:pPr>
      <w:r>
        <w:rPr/>
        <w:pict>
          <v:group style="position:absolute;margin-left:84.720001pt;margin-top:23.789989pt;width:126.75pt;height:248.3pt;mso-position-horizontal-relative:page;mso-position-vertical-relative:paragraph;z-index:-251654144;mso-wrap-distance-left:0;mso-wrap-distance-right:0" coordorigin="1694,476" coordsize="2535,4966">
            <v:line style="position:absolute" from="2962,1109" to="2962,4539" stroked="true" strokeweight=".72pt" strokecolor="#000000">
              <v:stroke dashstyle="solid"/>
            </v:line>
            <v:line style="position:absolute" from="2542,2768" to="2962,2768" stroked="true" strokeweight=".72pt" strokecolor="#000000">
              <v:stroke dashstyle="solid"/>
            </v:line>
            <v:shape style="position:absolute;left:2968;top:1049;width:428;height:120" coordorigin="2969,1049" coordsize="428,120" path="m3276,1049l3276,1169,3382,1117,3295,1117,3302,1114,3302,1105,3295,1102,3382,1102,3276,1049xm3276,1102l2976,1102,2971,1105,2969,1109,2971,1114,2976,1117,3276,1117,3276,1102xm3382,1102l3295,1102,3302,1105,3302,1114,3295,1117,3382,1117,3396,1109,3382,1102xe" filled="true" fillcolor="#000000" stroked="false">
              <v:path arrowok="t"/>
              <v:fill type="solid"/>
            </v:shape>
            <v:shape style="position:absolute;left:2937;top:4507;width:428;height:120" coordorigin="2938,4508" coordsize="428,120" path="m3245,4508l3245,4628,3350,4575,3271,4575,3274,4568,3271,4563,3266,4561,3350,4561,3245,4508xm3245,4561l2945,4561,2940,4563,2938,4568,2940,4575,3245,4575,3245,4561xm3350,4561l3266,4561,3271,4563,3274,4568,3271,4575,3350,4575,3365,4568,3350,4561xe" filled="true" fillcolor="#000000" stroked="false">
              <v:path arrowok="t"/>
              <v:fill type="solid"/>
            </v:shape>
            <v:shape style="position:absolute;left:1701;top:1243;width:840;height:3267" type="#_x0000_t202" filled="false" stroked="true" strokeweight=".72pt" strokecolor="#000000">
              <v:textbox inset="0,0,0,0">
                <w:txbxContent>
                  <w:p>
                    <w:pPr>
                      <w:spacing w:line="242" w:lineRule="auto" w:before="75"/>
                      <w:ind w:left="144" w:right="257" w:firstLine="0"/>
                      <w:jc w:val="both"/>
                      <w:rPr>
                        <w:rFonts w:ascii="宋体" w:eastAsia="宋体" w:hint="eastAsia"/>
                        <w:sz w:val="21"/>
                      </w:rPr>
                    </w:pPr>
                    <w:r>
                      <w:rPr>
                        <w:rFonts w:ascii="宋体" w:eastAsia="宋体" w:hint="eastAsia"/>
                        <w:sz w:val="21"/>
                      </w:rPr>
                      <w:t>潍突坊发中环汇境化事工件有应限急公预司案</w:t>
                    </w:r>
                  </w:p>
                </w:txbxContent>
              </v:textbox>
              <v:stroke dashstyle="solid"/>
              <w10:wrap type="none"/>
            </v:shape>
            <v:shape style="position:absolute;left:3381;top:3910;width:840;height:1524" type="#_x0000_t202" filled="false" stroked="true" strokeweight=".72pt" strokecolor="#000000">
              <v:textbox inset="0,0,0,0">
                <w:txbxContent>
                  <w:p>
                    <w:pPr>
                      <w:spacing w:before="73"/>
                      <w:ind w:left="144" w:right="0" w:firstLine="0"/>
                      <w:jc w:val="left"/>
                      <w:rPr>
                        <w:rFonts w:ascii="宋体" w:eastAsia="宋体" w:hint="eastAsia"/>
                        <w:sz w:val="21"/>
                      </w:rPr>
                    </w:pPr>
                    <w:r>
                      <w:rPr>
                        <w:rFonts w:ascii="宋体" w:eastAsia="宋体" w:hint="eastAsia"/>
                        <w:spacing w:val="4"/>
                        <w:sz w:val="21"/>
                      </w:rPr>
                      <w:t>公 司</w:t>
                    </w:r>
                  </w:p>
                  <w:p>
                    <w:pPr>
                      <w:spacing w:before="4"/>
                      <w:ind w:left="144" w:right="0" w:firstLine="0"/>
                      <w:jc w:val="left"/>
                      <w:rPr>
                        <w:rFonts w:ascii="宋体" w:eastAsia="宋体" w:hint="eastAsia"/>
                        <w:sz w:val="21"/>
                      </w:rPr>
                    </w:pPr>
                    <w:r>
                      <w:rPr>
                        <w:rFonts w:ascii="宋体" w:eastAsia="宋体" w:hint="eastAsia"/>
                        <w:spacing w:val="4"/>
                        <w:sz w:val="21"/>
                      </w:rPr>
                      <w:t>安 全</w:t>
                    </w:r>
                  </w:p>
                  <w:p>
                    <w:pPr>
                      <w:spacing w:before="3"/>
                      <w:ind w:left="144" w:right="0" w:firstLine="0"/>
                      <w:jc w:val="left"/>
                      <w:rPr>
                        <w:rFonts w:ascii="宋体" w:eastAsia="宋体" w:hint="eastAsia"/>
                        <w:sz w:val="21"/>
                      </w:rPr>
                    </w:pPr>
                    <w:r>
                      <w:rPr>
                        <w:rFonts w:ascii="宋体" w:eastAsia="宋体" w:hint="eastAsia"/>
                        <w:spacing w:val="4"/>
                        <w:sz w:val="21"/>
                      </w:rPr>
                      <w:t>生 产</w:t>
                    </w:r>
                  </w:p>
                  <w:p>
                    <w:pPr>
                      <w:spacing w:line="242" w:lineRule="auto" w:before="4"/>
                      <w:ind w:left="144" w:right="139" w:firstLine="0"/>
                      <w:jc w:val="left"/>
                      <w:rPr>
                        <w:rFonts w:ascii="宋体" w:eastAsia="宋体" w:hint="eastAsia"/>
                        <w:sz w:val="21"/>
                      </w:rPr>
                    </w:pPr>
                    <w:r>
                      <w:rPr>
                        <w:rFonts w:ascii="宋体" w:eastAsia="宋体" w:hint="eastAsia"/>
                        <w:spacing w:val="-1"/>
                        <w:sz w:val="21"/>
                      </w:rPr>
                      <w:t>应 急</w:t>
                    </w:r>
                    <w:r>
                      <w:rPr>
                        <w:rFonts w:ascii="宋体" w:eastAsia="宋体" w:hint="eastAsia"/>
                        <w:sz w:val="21"/>
                      </w:rPr>
                      <w:t>预 案</w:t>
                    </w:r>
                  </w:p>
                </w:txbxContent>
              </v:textbox>
              <v:stroke dashstyle="solid"/>
              <w10:wrap type="none"/>
            </v:shape>
            <v:shape style="position:absolute;left:3520;top:483;width:560;height:1906" type="#_x0000_t202" filled="false" stroked="true" strokeweight=".72pt" strokecolor="#000000">
              <v:textbox inset="0,0,0,0">
                <w:txbxContent>
                  <w:p>
                    <w:pPr>
                      <w:spacing w:line="242" w:lineRule="auto" w:before="73"/>
                      <w:ind w:left="144" w:right="187" w:firstLine="0"/>
                      <w:jc w:val="both"/>
                      <w:rPr>
                        <w:rFonts w:ascii="宋体" w:eastAsia="宋体" w:hint="eastAsia"/>
                        <w:sz w:val="21"/>
                      </w:rPr>
                    </w:pPr>
                    <w:r>
                      <w:rPr>
                        <w:rFonts w:ascii="宋体" w:eastAsia="宋体" w:hint="eastAsia"/>
                        <w:sz w:val="21"/>
                      </w:rPr>
                      <w:t>综合应急预案</w:t>
                    </w:r>
                  </w:p>
                </w:txbxContent>
              </v:textbox>
              <v:stroke dashstyle="solid"/>
              <w10:wrap type="none"/>
            </v:shape>
            <w10:wrap type="topAndBottom"/>
          </v:group>
        </w:pict>
      </w:r>
      <w:r>
        <w:rPr/>
        <w:pict>
          <v:group style="position:absolute;margin-left:224.639999pt;margin-top:15.509991pt;width:286.350pt;height:133.1pt;mso-position-horizontal-relative:page;mso-position-vertical-relative:paragraph;z-index:-251648000;mso-wrap-distance-left:0;mso-wrap-distance-right:0" coordorigin="4493,310" coordsize="5727,2662">
            <v:shape style="position:absolute;left:5054;top:1714;width:428;height:120" coordorigin="5054,1714" coordsize="428,120" path="m5362,1714l5362,1834,5467,1781,5381,1781,5386,1779,5388,1774,5386,1769,5381,1767,5467,1767,5362,1714xm5362,1767l5062,1767,5057,1769,5054,1774,5057,1779,5062,1781,5362,1781,5362,1767xm5467,1767l5381,1767,5386,1769,5388,1774,5386,1779,5381,1781,5467,1781,5482,1774,5467,1767xe" filled="true" fillcolor="#000000" stroked="false">
              <v:path arrowok="t"/>
              <v:fill type="solid"/>
            </v:shape>
            <v:line style="position:absolute" from="5489,483" to="5489,2593" stroked="true" strokeweight=".72pt" strokecolor="#000000">
              <v:stroke dashstyle="solid"/>
            </v:line>
            <v:shape style="position:absolute;left:5474;top:423;width:428;height:120" coordorigin="5474,423" coordsize="428,120" path="m5782,423l5782,543,5887,490,5801,490,5806,488,5808,483,5806,478,5801,476,5887,476,5782,423xm5782,476l5482,476,5477,478,5474,483,5477,488,5482,490,5782,490,5782,476xm5887,476l5801,476,5806,478,5808,483,5806,488,5801,490,5887,490,5902,483,5887,476xe" filled="true" fillcolor="#000000" stroked="false">
              <v:path arrowok="t"/>
              <v:fill type="solid"/>
            </v:shape>
            <v:shape style="position:absolute;left:5474;top:1162;width:428;height:120" coordorigin="5474,1162" coordsize="428,120" path="m5782,1162l5782,1282,5887,1229,5801,1229,5806,1227,5808,1222,5806,1217,5801,1215,5887,1215,5782,1162xm5782,1215l5482,1215,5477,1217,5474,1222,5477,1227,5482,1229,5782,1229,5782,1215xm5887,1215l5801,1215,5806,1217,5808,1222,5806,1227,5801,1229,5887,1229,5902,1222,5887,1215xe" filled="true" fillcolor="#000000" stroked="false">
              <v:path arrowok="t"/>
              <v:fill type="solid"/>
            </v:shape>
            <v:shape style="position:absolute;left:5503;top:1923;width:428;height:120" coordorigin="5503,1923" coordsize="428,120" path="m5810,1923l5810,2043,5916,1990,5832,1990,5837,1988,5839,1983,5837,1978,5832,1976,5916,1976,5810,1923xm5810,1976l5510,1976,5506,1978,5503,1983,5506,1988,5510,1990,5810,1990,5810,1976xm5916,1976l5832,1976,5837,1978,5839,1983,5837,1988,5832,1990,5916,1990,5930,1983,5916,1976xe" filled="true" fillcolor="#000000" stroked="false">
              <v:path arrowok="t"/>
              <v:fill type="solid"/>
            </v:shape>
            <v:shape style="position:absolute;left:5474;top:2544;width:428;height:120" coordorigin="5474,2545" coordsize="428,120" path="m5782,2545l5782,2665,5887,2612,5801,2612,5806,2609,5808,2605,5806,2600,5801,2597,5887,2597,5782,2545xm5782,2597l5482,2597,5477,2600,5474,2605,5477,2609,5482,2612,5782,2612,5782,2597xm5887,2597l5801,2597,5806,2600,5808,2605,5806,2609,5801,2612,5887,2612,5902,2605,5887,2597xe" filled="true" fillcolor="#000000" stroked="false">
              <v:path arrowok="t"/>
              <v:fill type="solid"/>
            </v:shape>
            <v:shape style="position:absolute;left:5901;top:2499;width:3360;height:382" type="#_x0000_t202" filled="false" stroked="true" strokeweight=".72pt" strokecolor="#000000">
              <v:textbox inset="0,0,0,0">
                <w:txbxContent>
                  <w:p>
                    <w:pPr>
                      <w:spacing w:before="3"/>
                      <w:ind w:left="199" w:right="0" w:firstLine="0"/>
                      <w:jc w:val="left"/>
                      <w:rPr>
                        <w:rFonts w:ascii="宋体" w:eastAsia="宋体" w:hint="eastAsia"/>
                        <w:sz w:val="21"/>
                      </w:rPr>
                    </w:pPr>
                    <w:r>
                      <w:rPr>
                        <w:rFonts w:ascii="宋体" w:eastAsia="宋体" w:hint="eastAsia"/>
                        <w:sz w:val="21"/>
                      </w:rPr>
                      <w:t>自然灾害事故现场应急处置预案</w:t>
                    </w:r>
                  </w:p>
                </w:txbxContent>
              </v:textbox>
              <v:stroke dashstyle="solid"/>
              <w10:wrap type="none"/>
            </v:shape>
            <v:shape style="position:absolute;left:5966;top:1812;width:3360;height:380" type="#_x0000_t202" filled="false" stroked="true" strokeweight=".72pt" strokecolor="#000000">
              <v:textbox inset="0,0,0,0">
                <w:txbxContent>
                  <w:p>
                    <w:pPr>
                      <w:spacing w:before="1"/>
                      <w:ind w:left="199" w:right="0" w:firstLine="0"/>
                      <w:jc w:val="left"/>
                      <w:rPr>
                        <w:rFonts w:ascii="宋体" w:eastAsia="宋体" w:hint="eastAsia"/>
                        <w:sz w:val="21"/>
                      </w:rPr>
                    </w:pPr>
                    <w:r>
                      <w:rPr>
                        <w:rFonts w:ascii="宋体" w:eastAsia="宋体" w:hint="eastAsia"/>
                        <w:sz w:val="21"/>
                      </w:rPr>
                      <w:t>废气处理设施现场应急处置预案</w:t>
                    </w:r>
                  </w:p>
                </w:txbxContent>
              </v:textbox>
              <v:stroke dashstyle="solid"/>
              <w10:wrap type="none"/>
            </v:shape>
            <v:shape style="position:absolute;left:5920;top:1071;width:4292;height:382" type="#_x0000_t202" filled="false" stroked="true" strokeweight=".72pt" strokecolor="#000000">
              <v:textbox inset="0,0,0,0">
                <w:txbxContent>
                  <w:p>
                    <w:pPr>
                      <w:spacing w:before="3"/>
                      <w:ind w:left="144" w:right="0" w:firstLine="0"/>
                      <w:jc w:val="left"/>
                      <w:rPr>
                        <w:rFonts w:ascii="宋体" w:eastAsia="宋体" w:hint="eastAsia"/>
                        <w:sz w:val="21"/>
                      </w:rPr>
                    </w:pPr>
                    <w:r>
                      <w:rPr>
                        <w:rFonts w:ascii="宋体" w:eastAsia="宋体" w:hint="eastAsia"/>
                        <w:sz w:val="21"/>
                      </w:rPr>
                      <w:t>液氨、乙腈、乙二醇泄漏现场应急处置预案</w:t>
                    </w:r>
                  </w:p>
                </w:txbxContent>
              </v:textbox>
              <v:stroke dashstyle="solid"/>
              <w10:wrap type="none"/>
            </v:shape>
            <v:shape style="position:absolute;left:4500;top:677;width:562;height:2288" type="#_x0000_t202" filled="false" stroked="true" strokeweight=".72pt" strokecolor="#000000">
              <v:textbox inset="0,0,0,0">
                <w:txbxContent>
                  <w:p>
                    <w:pPr>
                      <w:spacing w:line="242" w:lineRule="auto" w:before="1"/>
                      <w:ind w:left="146" w:right="187" w:firstLine="0"/>
                      <w:jc w:val="both"/>
                      <w:rPr>
                        <w:rFonts w:ascii="宋体" w:eastAsia="宋体" w:hint="eastAsia"/>
                        <w:sz w:val="21"/>
                      </w:rPr>
                    </w:pPr>
                    <w:r>
                      <w:rPr>
                        <w:rFonts w:ascii="宋体" w:eastAsia="宋体" w:hint="eastAsia"/>
                        <w:sz w:val="21"/>
                      </w:rPr>
                      <w:t>现场应急处置预案</w:t>
                    </w:r>
                  </w:p>
                </w:txbxContent>
              </v:textbox>
              <v:stroke dashstyle="solid"/>
              <w10:wrap type="none"/>
            </v:shape>
            <v:shape style="position:absolute;left:5906;top:317;width:2516;height:382" type="#_x0000_t202" filled="false" stroked="true" strokeweight=".72pt" strokecolor="#000000">
              <v:textbox inset="0,0,0,0">
                <w:txbxContent>
                  <w:p>
                    <w:pPr>
                      <w:spacing w:before="1"/>
                      <w:ind w:left="199" w:right="0" w:firstLine="0"/>
                      <w:jc w:val="left"/>
                      <w:rPr>
                        <w:rFonts w:ascii="宋体" w:eastAsia="宋体" w:hint="eastAsia"/>
                        <w:sz w:val="21"/>
                      </w:rPr>
                    </w:pPr>
                    <w:r>
                      <w:rPr>
                        <w:rFonts w:ascii="宋体" w:eastAsia="宋体" w:hint="eastAsia"/>
                        <w:sz w:val="21"/>
                      </w:rPr>
                      <w:t>火灾现场应急处置预案</w:t>
                    </w:r>
                  </w:p>
                </w:txbxContent>
              </v:textbox>
              <v:stroke dashstyle="solid"/>
              <w10:wrap type="none"/>
            </v:shape>
            <w10:wrap type="topAndBottom"/>
          </v:group>
        </w:pict>
      </w:r>
    </w:p>
    <w:p>
      <w:pPr>
        <w:pStyle w:val="BodyText"/>
        <w:rPr>
          <w:sz w:val="20"/>
        </w:rPr>
      </w:pPr>
    </w:p>
    <w:p>
      <w:pPr>
        <w:pStyle w:val="BodyText"/>
        <w:spacing w:before="3"/>
        <w:rPr>
          <w:sz w:val="15"/>
        </w:rPr>
      </w:pPr>
    </w:p>
    <w:p>
      <w:pPr>
        <w:tabs>
          <w:tab w:pos="1978" w:val="left" w:leader="none"/>
        </w:tabs>
        <w:spacing w:before="62"/>
        <w:ind w:left="500" w:right="0" w:firstLine="0"/>
        <w:jc w:val="center"/>
        <w:rPr>
          <w:b/>
          <w:sz w:val="28"/>
        </w:rPr>
      </w:pPr>
      <w:r>
        <w:rPr>
          <w:b/>
          <w:sz w:val="28"/>
        </w:rPr>
        <w:t>图</w:t>
      </w:r>
      <w:r>
        <w:rPr>
          <w:b/>
          <w:spacing w:val="-70"/>
          <w:sz w:val="28"/>
        </w:rPr>
        <w:t> </w:t>
      </w:r>
      <w:r>
        <w:rPr>
          <w:b/>
          <w:sz w:val="28"/>
        </w:rPr>
        <w:t>1-6-1</w:t>
        <w:tab/>
        <w:t>应急预案体系图</w:t>
      </w:r>
    </w:p>
    <w:p>
      <w:pPr>
        <w:pStyle w:val="BodyText"/>
        <w:spacing w:before="186"/>
        <w:ind w:left="780"/>
      </w:pPr>
      <w:r>
        <w:rPr/>
        <w:t>3、衔接</w:t>
      </w:r>
    </w:p>
    <w:p>
      <w:pPr>
        <w:spacing w:after="0"/>
        <w:sectPr>
          <w:pgSz w:w="11910" w:h="16840"/>
          <w:pgMar w:header="0" w:footer="984" w:top="1580" w:bottom="1180" w:left="1480" w:right="1420"/>
        </w:sectPr>
      </w:pPr>
    </w:p>
    <w:p>
      <w:pPr>
        <w:pStyle w:val="BodyText"/>
        <w:spacing w:line="364" w:lineRule="auto" w:before="102"/>
        <w:ind w:left="221" w:right="276" w:firstLine="559"/>
      </w:pPr>
      <w:r>
        <w:rPr/>
        <w:t>《潍坊中汇化工有限公司突发环境事件应急预案》是潍坊中汇化工有限公司为应对本公司而突发环境事件制订的。</w:t>
      </w:r>
    </w:p>
    <w:p>
      <w:pPr>
        <w:pStyle w:val="BodyText"/>
        <w:spacing w:line="364" w:lineRule="auto"/>
        <w:ind w:left="221" w:right="276" w:firstLine="559"/>
      </w:pPr>
      <w:r>
        <w:rPr/>
        <w:t>当发生重大事故后，当地政府如果启动相关应急预案，政府人员一旦到场，企业的应急预案即自动终止。</w:t>
      </w:r>
    </w:p>
    <w:p>
      <w:pPr>
        <w:pStyle w:val="ListParagraph"/>
        <w:numPr>
          <w:ilvl w:val="1"/>
          <w:numId w:val="3"/>
        </w:numPr>
        <w:tabs>
          <w:tab w:pos="717" w:val="left" w:leader="none"/>
        </w:tabs>
        <w:spacing w:line="358" w:lineRule="exact" w:before="0" w:after="0"/>
        <w:ind w:left="716" w:right="0" w:hanging="496"/>
        <w:jc w:val="left"/>
        <w:rPr>
          <w:b/>
          <w:sz w:val="28"/>
        </w:rPr>
      </w:pPr>
      <w:bookmarkStart w:name="_TOC_250061" w:id="7"/>
      <w:bookmarkEnd w:id="7"/>
      <w:r>
        <w:rPr>
          <w:b/>
          <w:sz w:val="28"/>
        </w:rPr>
        <w:t>突发环境事件应急预案的启动</w:t>
      </w:r>
    </w:p>
    <w:p>
      <w:pPr>
        <w:pStyle w:val="BodyText"/>
        <w:spacing w:before="185"/>
        <w:ind w:left="780"/>
      </w:pPr>
      <w:r>
        <w:rPr/>
        <w:t>本公司突发环境事件应急预案分四个阶段实施：</w:t>
      </w:r>
    </w:p>
    <w:p>
      <w:pPr>
        <w:pStyle w:val="BodyText"/>
        <w:spacing w:line="364" w:lineRule="auto" w:before="184"/>
        <w:ind w:left="221" w:right="276" w:firstLine="559"/>
        <w:jc w:val="both"/>
      </w:pPr>
      <w:r>
        <w:rPr/>
        <w:t>1</w:t>
      </w:r>
      <w:r>
        <w:rPr>
          <w:spacing w:val="-7"/>
        </w:rPr>
        <w:t>、预防阶段。是指公司为预防、控制和消除环境污染事故，对人</w:t>
      </w:r>
      <w:r>
        <w:rPr>
          <w:spacing w:val="-2"/>
        </w:rPr>
        <w:t>类生命、财产和环境的危害所采取的行为，包括制定安全环保管理制</w:t>
      </w:r>
      <w:r>
        <w:rPr>
          <w:spacing w:val="-3"/>
        </w:rPr>
        <w:t>度、强化安全环保管理措施等。</w:t>
      </w:r>
    </w:p>
    <w:p>
      <w:pPr>
        <w:pStyle w:val="BodyText"/>
        <w:spacing w:line="364" w:lineRule="auto"/>
        <w:ind w:left="221" w:right="223" w:firstLine="559"/>
      </w:pPr>
      <w:r>
        <w:rPr/>
        <w:t>2、准备阶段。是在事故发生前采取的行动，包括研究国家相关法规、政策；编制、完善事故应急救援预案；开展培训和演习。</w:t>
      </w:r>
    </w:p>
    <w:p>
      <w:pPr>
        <w:pStyle w:val="BodyText"/>
        <w:spacing w:line="364" w:lineRule="auto"/>
        <w:ind w:left="221" w:right="277" w:firstLine="559"/>
        <w:jc w:val="both"/>
      </w:pPr>
      <w:r>
        <w:rPr/>
        <w:t>3</w:t>
      </w:r>
      <w:r>
        <w:rPr>
          <w:spacing w:val="-8"/>
        </w:rPr>
        <w:t>、响应阶段。是在事故发生后及事故发生期间采取救援行动的阶</w:t>
      </w:r>
      <w:r>
        <w:rPr/>
        <w:t>段，包括启动应急通告报警系统；启动应急救援中心；实施人员疏散</w:t>
      </w:r>
      <w:r>
        <w:rPr>
          <w:spacing w:val="-3"/>
        </w:rPr>
        <w:t>和安置程序，实施警戒和交通管制；监测污染物浓度。</w:t>
      </w:r>
    </w:p>
    <w:p>
      <w:pPr>
        <w:pStyle w:val="BodyText"/>
        <w:spacing w:line="364" w:lineRule="auto"/>
        <w:ind w:left="221" w:right="223" w:firstLine="559"/>
      </w:pPr>
      <w:r>
        <w:rPr/>
        <w:t>4、恢复阶段。是在事故发生后立即进行的行动，包括实施应急响应关闭程序；事故调查；开展事故损失评估与索赔工作等。</w:t>
      </w:r>
    </w:p>
    <w:p>
      <w:pPr>
        <w:pStyle w:val="Heading1"/>
        <w:numPr>
          <w:ilvl w:val="0"/>
          <w:numId w:val="4"/>
        </w:numPr>
        <w:tabs>
          <w:tab w:pos="464" w:val="left" w:leader="none"/>
        </w:tabs>
        <w:spacing w:line="240" w:lineRule="auto" w:before="0" w:after="0"/>
        <w:ind w:left="463" w:right="0" w:hanging="243"/>
        <w:jc w:val="left"/>
      </w:pPr>
      <w:bookmarkStart w:name="_TOC_250060" w:id="8"/>
      <w:bookmarkEnd w:id="8"/>
      <w:r>
        <w:rPr/>
        <w:t>企业基本情况</w:t>
      </w:r>
    </w:p>
    <w:p>
      <w:pPr>
        <w:pStyle w:val="ListParagraph"/>
        <w:numPr>
          <w:ilvl w:val="1"/>
          <w:numId w:val="4"/>
        </w:numPr>
        <w:tabs>
          <w:tab w:pos="717" w:val="left" w:leader="none"/>
        </w:tabs>
        <w:spacing w:line="240" w:lineRule="auto" w:before="206" w:after="0"/>
        <w:ind w:left="716" w:right="0" w:hanging="496"/>
        <w:jc w:val="left"/>
        <w:rPr>
          <w:b/>
          <w:sz w:val="28"/>
        </w:rPr>
      </w:pPr>
      <w:bookmarkStart w:name="_TOC_250059" w:id="9"/>
      <w:bookmarkEnd w:id="9"/>
      <w:r>
        <w:rPr>
          <w:b/>
          <w:sz w:val="28"/>
        </w:rPr>
        <w:t>企业简介</w:t>
      </w:r>
    </w:p>
    <w:p>
      <w:pPr>
        <w:pStyle w:val="ListParagraph"/>
        <w:numPr>
          <w:ilvl w:val="2"/>
          <w:numId w:val="4"/>
        </w:numPr>
        <w:tabs>
          <w:tab w:pos="1278" w:val="left" w:leader="none"/>
        </w:tabs>
        <w:spacing w:line="240" w:lineRule="auto" w:before="186" w:after="0"/>
        <w:ind w:left="1277" w:right="0" w:hanging="776"/>
        <w:jc w:val="left"/>
        <w:rPr>
          <w:b/>
          <w:sz w:val="28"/>
        </w:rPr>
      </w:pPr>
      <w:r>
        <w:rPr>
          <w:b/>
          <w:sz w:val="28"/>
        </w:rPr>
        <w:t>基本概况</w:t>
      </w:r>
    </w:p>
    <w:p>
      <w:pPr>
        <w:pStyle w:val="BodyText"/>
        <w:spacing w:before="186"/>
        <w:ind w:left="780"/>
        <w:jc w:val="both"/>
      </w:pPr>
      <w:r>
        <w:rPr>
          <w:spacing w:val="-8"/>
        </w:rPr>
        <w:t>潍坊中汇化工有限公司成立于 </w:t>
      </w:r>
      <w:r>
        <w:rPr/>
        <w:t>2008</w:t>
      </w:r>
      <w:r>
        <w:rPr>
          <w:spacing w:val="-44"/>
        </w:rPr>
        <w:t> 年 </w:t>
      </w:r>
      <w:r>
        <w:rPr/>
        <w:t>1</w:t>
      </w:r>
      <w:r>
        <w:rPr>
          <w:spacing w:val="-43"/>
        </w:rPr>
        <w:t> 月 </w:t>
      </w:r>
      <w:r>
        <w:rPr/>
        <w:t>28</w:t>
      </w:r>
      <w:r>
        <w:rPr>
          <w:spacing w:val="-19"/>
        </w:rPr>
        <w:t> 日，注册资金 </w:t>
      </w:r>
      <w:r>
        <w:rPr/>
        <w:t>2000</w:t>
      </w:r>
    </w:p>
    <w:p>
      <w:pPr>
        <w:pStyle w:val="BodyText"/>
        <w:spacing w:line="364" w:lineRule="auto" w:before="186"/>
        <w:ind w:left="221" w:right="276"/>
        <w:jc w:val="both"/>
      </w:pPr>
      <w:r>
        <w:rPr>
          <w:spacing w:val="-3"/>
        </w:rPr>
        <w:t>万元，占地 </w:t>
      </w:r>
      <w:r>
        <w:rPr/>
        <w:t>100</w:t>
      </w:r>
      <w:r>
        <w:rPr>
          <w:spacing w:val="-4"/>
        </w:rPr>
        <w:t> 亩，位于潍坊滨海项目开发区先进产业园内。入园伊</w:t>
      </w:r>
      <w:r>
        <w:rPr/>
        <w:t>始，中汇公司确立以海洋化工、精细化工为主导方向（时称为寒亭海</w:t>
      </w:r>
      <w:r>
        <w:rPr>
          <w:spacing w:val="-1"/>
        </w:rPr>
        <w:t>洋化工园</w:t>
      </w:r>
      <w:r>
        <w:rPr>
          <w:spacing w:val="-139"/>
        </w:rPr>
        <w:t>）</w:t>
      </w:r>
      <w:r>
        <w:rPr/>
        <w:t>。</w:t>
      </w:r>
    </w:p>
    <w:p>
      <w:pPr>
        <w:pStyle w:val="BodyText"/>
        <w:spacing w:line="364" w:lineRule="auto"/>
        <w:ind w:left="221" w:right="273" w:firstLine="559"/>
        <w:jc w:val="both"/>
      </w:pPr>
      <w:r>
        <w:rPr>
          <w:spacing w:val="-35"/>
        </w:rPr>
        <w:t>于 </w:t>
      </w:r>
      <w:r>
        <w:rPr/>
        <w:t>2008</w:t>
      </w:r>
      <w:r>
        <w:rPr>
          <w:spacing w:val="-46"/>
        </w:rPr>
        <w:t> 年 </w:t>
      </w:r>
      <w:r>
        <w:rPr/>
        <w:t>3</w:t>
      </w:r>
      <w:r>
        <w:rPr>
          <w:spacing w:val="-47"/>
        </w:rPr>
        <w:t> 月 </w:t>
      </w:r>
      <w:r>
        <w:rPr/>
        <w:t>11</w:t>
      </w:r>
      <w:r>
        <w:rPr>
          <w:spacing w:val="-17"/>
        </w:rPr>
        <w:t> 日在市发改委立项，建设 </w:t>
      </w:r>
      <w:r>
        <w:rPr/>
        <w:t>10000t/a</w:t>
      </w:r>
      <w:r>
        <w:rPr>
          <w:spacing w:val="-13"/>
        </w:rPr>
        <w:t> 溴素系列产品(2000t/a</w:t>
      </w:r>
      <w:r>
        <w:rPr>
          <w:spacing w:val="-18"/>
        </w:rPr>
        <w:t> 溴丙烷、</w:t>
      </w:r>
      <w:r>
        <w:rPr/>
        <w:t>2000t/a</w:t>
      </w:r>
      <w:r>
        <w:rPr>
          <w:spacing w:val="-18"/>
        </w:rPr>
        <w:t> 溴化锂、</w:t>
      </w:r>
      <w:r>
        <w:rPr/>
        <w:t>4000t/a</w:t>
      </w:r>
      <w:r>
        <w:rPr>
          <w:spacing w:val="-17"/>
        </w:rPr>
        <w:t> 溴化氢、</w:t>
      </w:r>
      <w:r>
        <w:rPr/>
        <w:t>2000t/a</w:t>
      </w:r>
      <w:r>
        <w:rPr>
          <w:spacing w:val="-24"/>
        </w:rPr>
        <w:t> 氢溴</w:t>
      </w:r>
    </w:p>
    <w:p>
      <w:pPr>
        <w:spacing w:after="0" w:line="364" w:lineRule="auto"/>
        <w:jc w:val="both"/>
        <w:sectPr>
          <w:pgSz w:w="11910" w:h="16840"/>
          <w:pgMar w:header="0" w:footer="984" w:top="1580" w:bottom="1180" w:left="1480" w:right="1420"/>
        </w:sectPr>
      </w:pPr>
    </w:p>
    <w:p>
      <w:pPr>
        <w:pStyle w:val="BodyText"/>
        <w:spacing w:line="364" w:lineRule="auto" w:before="102"/>
        <w:ind w:left="221" w:right="134"/>
      </w:pPr>
      <w:r>
        <w:rPr>
          <w:spacing w:val="-17"/>
        </w:rPr>
        <w:t>酸)和 </w:t>
      </w:r>
      <w:r>
        <w:rPr/>
        <w:t>2000t/a</w:t>
      </w:r>
      <w:r>
        <w:rPr>
          <w:spacing w:val="-14"/>
        </w:rPr>
        <w:t> 乙腈装置。市环保批复文号：潍环审字〔</w:t>
      </w:r>
      <w:r>
        <w:rPr/>
        <w:t>2008</w:t>
      </w:r>
      <w:r>
        <w:rPr>
          <w:spacing w:val="-27"/>
        </w:rPr>
        <w:t>〕</w:t>
      </w:r>
      <w:r>
        <w:rPr/>
        <w:t>169</w:t>
      </w:r>
      <w:r>
        <w:rPr>
          <w:spacing w:val="-23"/>
        </w:rPr>
        <w:t> 号。2009</w:t>
      </w:r>
      <w:r>
        <w:rPr>
          <w:spacing w:val="-47"/>
        </w:rPr>
        <w:t> 年 </w:t>
      </w:r>
      <w:r>
        <w:rPr/>
        <w:t>4</w:t>
      </w:r>
      <w:r>
        <w:rPr>
          <w:spacing w:val="-27"/>
        </w:rPr>
        <w:t> 月，中汇公司投资 </w:t>
      </w:r>
      <w:r>
        <w:rPr/>
        <w:t>3830</w:t>
      </w:r>
      <w:r>
        <w:rPr>
          <w:spacing w:val="-21"/>
        </w:rPr>
        <w:t> 万元建设的 </w:t>
      </w:r>
      <w:r>
        <w:rPr/>
        <w:t>2000t/a</w:t>
      </w:r>
      <w:r>
        <w:rPr>
          <w:spacing w:val="-11"/>
        </w:rPr>
        <w:t> 乙腈生产装置投</w:t>
      </w:r>
      <w:r>
        <w:rPr>
          <w:spacing w:val="-21"/>
        </w:rPr>
        <w:t>产，并于 </w:t>
      </w:r>
      <w:r>
        <w:rPr/>
        <w:t>2010</w:t>
      </w:r>
      <w:r>
        <w:rPr>
          <w:spacing w:val="-8"/>
        </w:rPr>
        <w:t> 年通过了市环保局的验收</w:t>
      </w:r>
      <w:r>
        <w:rPr/>
        <w:t>（</w:t>
      </w:r>
      <w:r>
        <w:rPr>
          <w:spacing w:val="-2"/>
        </w:rPr>
        <w:t>潍环验〔</w:t>
      </w:r>
      <w:r>
        <w:rPr/>
        <w:t>2011〕38</w:t>
      </w:r>
      <w:r>
        <w:rPr>
          <w:spacing w:val="-29"/>
        </w:rPr>
        <w:t> 号</w:t>
      </w:r>
      <w:r>
        <w:rPr>
          <w:spacing w:val="-140"/>
        </w:rPr>
        <w:t>）</w:t>
      </w:r>
      <w:r>
        <w:rPr/>
        <w:t>。根</w:t>
      </w:r>
      <w:r>
        <w:rPr>
          <w:spacing w:val="-10"/>
        </w:rPr>
        <w:t>据市场的变化情况，中汇公司决定停建已经批复的 </w:t>
      </w:r>
      <w:r>
        <w:rPr/>
        <w:t>10000t/a</w:t>
      </w:r>
      <w:r>
        <w:rPr>
          <w:spacing w:val="-15"/>
        </w:rPr>
        <w:t> 溴素系列产品。</w:t>
      </w:r>
    </w:p>
    <w:p>
      <w:pPr>
        <w:pStyle w:val="BodyText"/>
        <w:spacing w:line="364" w:lineRule="auto"/>
        <w:ind w:left="221" w:right="273" w:firstLine="559"/>
        <w:jc w:val="both"/>
      </w:pPr>
      <w:r>
        <w:rPr/>
        <w:t>2011</w:t>
      </w:r>
      <w:r>
        <w:rPr>
          <w:spacing w:val="-45"/>
        </w:rPr>
        <w:t> 年 </w:t>
      </w:r>
      <w:r>
        <w:rPr/>
        <w:t>11</w:t>
      </w:r>
      <w:r>
        <w:rPr>
          <w:spacing w:val="-46"/>
        </w:rPr>
        <w:t> 月 </w:t>
      </w:r>
      <w:r>
        <w:rPr/>
        <w:t>14</w:t>
      </w:r>
      <w:r>
        <w:rPr>
          <w:spacing w:val="-12"/>
        </w:rPr>
        <w:t> 日在市发改委立项，公司投资</w:t>
      </w:r>
      <w:r>
        <w:rPr/>
        <w:t>（</w:t>
      </w:r>
      <w:r>
        <w:rPr>
          <w:spacing w:val="-3"/>
        </w:rPr>
        <w:t>第二期）2880</w:t>
      </w:r>
      <w:r>
        <w:rPr>
          <w:spacing w:val="-35"/>
        </w:rPr>
        <w:t> 万</w:t>
      </w:r>
      <w:r>
        <w:rPr>
          <w:spacing w:val="-16"/>
        </w:rPr>
        <w:t>元建设安全、环保、原料与产品上下游续接的 </w:t>
      </w:r>
      <w:r>
        <w:rPr/>
        <w:t>20000t/a</w:t>
      </w:r>
      <w:r>
        <w:rPr>
          <w:spacing w:val="-12"/>
        </w:rPr>
        <w:t> 多元醇混合酯</w:t>
      </w:r>
      <w:r>
        <w:rPr>
          <w:spacing w:val="-25"/>
        </w:rPr>
        <w:t>项目和 </w:t>
      </w:r>
      <w:r>
        <w:rPr/>
        <w:t>2000t/a</w:t>
      </w:r>
      <w:r>
        <w:rPr>
          <w:spacing w:val="-13"/>
        </w:rPr>
        <w:t> 合成四氢呋喃</w:t>
      </w:r>
      <w:r>
        <w:rPr>
          <w:spacing w:val="-3"/>
        </w:rPr>
        <w:t>（THF）</w:t>
      </w:r>
      <w:r>
        <w:rPr>
          <w:spacing w:val="-4"/>
        </w:rPr>
        <w:t>项目。市环保批复文号：潍环审</w:t>
      </w:r>
      <w:r>
        <w:rPr>
          <w:spacing w:val="-5"/>
        </w:rPr>
        <w:t>字〔</w:t>
      </w:r>
      <w:r>
        <w:rPr/>
        <w:t>2012</w:t>
      </w:r>
      <w:r>
        <w:rPr>
          <w:spacing w:val="-10"/>
        </w:rPr>
        <w:t>〕</w:t>
      </w:r>
      <w:r>
        <w:rPr/>
        <w:t>187</w:t>
      </w:r>
      <w:r>
        <w:rPr>
          <w:spacing w:val="-28"/>
        </w:rPr>
        <w:t> 号。</w:t>
      </w:r>
      <w:r>
        <w:rPr/>
        <w:t>2013</w:t>
      </w:r>
      <w:r>
        <w:rPr>
          <w:spacing w:val="-47"/>
        </w:rPr>
        <w:t> 年 </w:t>
      </w:r>
      <w:r>
        <w:rPr/>
        <w:t>3</w:t>
      </w:r>
      <w:r>
        <w:rPr>
          <w:spacing w:val="-47"/>
        </w:rPr>
        <w:t> 月 </w:t>
      </w:r>
      <w:r>
        <w:rPr/>
        <w:t>13</w:t>
      </w:r>
      <w:r>
        <w:rPr>
          <w:spacing w:val="-18"/>
        </w:rPr>
        <w:t> 日，中汇公司年产 </w:t>
      </w:r>
      <w:r>
        <w:rPr/>
        <w:t>20000</w:t>
      </w:r>
      <w:r>
        <w:rPr>
          <w:spacing w:val="-15"/>
        </w:rPr>
        <w:t> 吨多元醇</w:t>
      </w:r>
      <w:r>
        <w:rPr>
          <w:spacing w:val="-3"/>
        </w:rPr>
        <w:t>混合酯项目进行了试生产，并取得潍坊市环境保护局滨海经济开发区</w:t>
      </w:r>
      <w:r>
        <w:rPr>
          <w:spacing w:val="-9"/>
        </w:rPr>
        <w:t>分局试生产批复，批复文号：潍滨环试字〔</w:t>
      </w:r>
      <w:r>
        <w:rPr/>
        <w:t>2013</w:t>
      </w:r>
      <w:r>
        <w:rPr>
          <w:spacing w:val="-22"/>
        </w:rPr>
        <w:t>〕</w:t>
      </w:r>
      <w:r>
        <w:rPr/>
        <w:t>7</w:t>
      </w:r>
      <w:r>
        <w:rPr>
          <w:spacing w:val="-12"/>
        </w:rPr>
        <w:t> 号，目前正在进行</w:t>
      </w:r>
      <w:r>
        <w:rPr>
          <w:spacing w:val="1"/>
        </w:rPr>
        <w:t>验收。根据市场的变化情况，中汇公司决定停建已经批复的 </w:t>
      </w:r>
      <w:r>
        <w:rPr/>
        <w:t>2000t/a </w:t>
      </w:r>
      <w:r>
        <w:rPr>
          <w:spacing w:val="-1"/>
        </w:rPr>
        <w:t>合成四氢呋喃</w:t>
      </w:r>
      <w:r>
        <w:rPr/>
        <w:t>（THF）产品。</w:t>
      </w:r>
    </w:p>
    <w:p>
      <w:pPr>
        <w:pStyle w:val="BodyText"/>
        <w:spacing w:line="364" w:lineRule="auto"/>
        <w:ind w:left="221" w:right="136" w:firstLine="559"/>
      </w:pPr>
      <w:r>
        <w:rPr/>
        <w:t>2013</w:t>
      </w:r>
      <w:r>
        <w:rPr>
          <w:spacing w:val="-47"/>
        </w:rPr>
        <w:t> 年 </w:t>
      </w:r>
      <w:r>
        <w:rPr/>
        <w:t>7</w:t>
      </w:r>
      <w:r>
        <w:rPr>
          <w:spacing w:val="-46"/>
        </w:rPr>
        <w:t> 月 </w:t>
      </w:r>
      <w:r>
        <w:rPr/>
        <w:t>7</w:t>
      </w:r>
      <w:r>
        <w:rPr>
          <w:spacing w:val="-20"/>
        </w:rPr>
        <w:t> 日，在滨海经济发展局立项，公司投资建设 </w:t>
      </w:r>
      <w:r>
        <w:rPr/>
        <w:t>3000t/a 合成乙腈项目。该项目环境影响报告已取得市环保滨海分局批复，文</w:t>
      </w:r>
      <w:r>
        <w:rPr>
          <w:spacing w:val="-2"/>
        </w:rPr>
        <w:t>号：潍滨环审字〔</w:t>
      </w:r>
      <w:r>
        <w:rPr/>
        <w:t>2015〕20</w:t>
      </w:r>
      <w:r>
        <w:rPr>
          <w:spacing w:val="-6"/>
        </w:rPr>
        <w:t> 号。由于项目实施过程中，建设规模、生</w:t>
      </w:r>
      <w:r>
        <w:rPr>
          <w:spacing w:val="-1"/>
        </w:rPr>
        <w:t>产工艺、污染防治措施较环评及批复内容发生了重大变更，根据环境</w:t>
      </w:r>
      <w:r>
        <w:rPr>
          <w:spacing w:val="-3"/>
        </w:rPr>
        <w:t>影响评价法第二十四条及鲁环评函[</w:t>
      </w:r>
      <w:r>
        <w:rPr/>
        <w:t>2012]27</w:t>
      </w:r>
      <w:r>
        <w:rPr>
          <w:spacing w:val="-7"/>
        </w:rPr>
        <w:t> 号的有关规定，该项目重</w:t>
      </w:r>
      <w:r>
        <w:rPr>
          <w:spacing w:val="-23"/>
        </w:rPr>
        <w:t>新报批了环评手续，并于 </w:t>
      </w:r>
      <w:r>
        <w:rPr/>
        <w:t>2016</w:t>
      </w:r>
      <w:r>
        <w:rPr>
          <w:spacing w:val="-50"/>
        </w:rPr>
        <w:t> 年 </w:t>
      </w:r>
      <w:r>
        <w:rPr/>
        <w:t>10</w:t>
      </w:r>
      <w:r>
        <w:rPr>
          <w:spacing w:val="-50"/>
        </w:rPr>
        <w:t> 月 </w:t>
      </w:r>
      <w:r>
        <w:rPr/>
        <w:t>11</w:t>
      </w:r>
      <w:r>
        <w:rPr>
          <w:spacing w:val="-10"/>
        </w:rPr>
        <w:t> 日取得市环保滨海分局批复， </w:t>
      </w:r>
      <w:r>
        <w:rPr>
          <w:spacing w:val="-7"/>
        </w:rPr>
        <w:t>文号：潍滨环审字〔</w:t>
      </w:r>
      <w:r>
        <w:rPr/>
        <w:t>2016〕16</w:t>
      </w:r>
      <w:r>
        <w:rPr>
          <w:spacing w:val="-24"/>
        </w:rPr>
        <w:t> 号。</w:t>
      </w:r>
    </w:p>
    <w:p>
      <w:pPr>
        <w:pStyle w:val="BodyText"/>
        <w:spacing w:line="364" w:lineRule="auto"/>
        <w:ind w:left="221" w:right="274" w:firstLine="559"/>
        <w:jc w:val="both"/>
      </w:pPr>
      <w:r>
        <w:rPr/>
        <w:t>2016</w:t>
      </w:r>
      <w:r>
        <w:rPr>
          <w:spacing w:val="-42"/>
        </w:rPr>
        <w:t> 年 </w:t>
      </w:r>
      <w:r>
        <w:rPr/>
        <w:t>10</w:t>
      </w:r>
      <w:r>
        <w:rPr>
          <w:spacing w:val="-16"/>
        </w:rPr>
        <w:t> 月公司投资建设 </w:t>
      </w:r>
      <w:r>
        <w:rPr/>
        <w:t>500</w:t>
      </w:r>
      <w:r>
        <w:rPr>
          <w:spacing w:val="-32"/>
        </w:rPr>
        <w:t> 吨</w:t>
      </w:r>
      <w:r>
        <w:rPr/>
        <w:t>/</w:t>
      </w:r>
      <w:r>
        <w:rPr>
          <w:spacing w:val="-3"/>
        </w:rPr>
        <w:t>年乙腈灌装项目，该项目只是</w:t>
      </w:r>
      <w:r>
        <w:rPr>
          <w:spacing w:val="-13"/>
        </w:rPr>
        <w:t>针对乙腈的包装方式发生变化，不增加产能，该报告表 </w:t>
      </w:r>
      <w:r>
        <w:rPr/>
        <w:t>2017</w:t>
      </w:r>
      <w:r>
        <w:rPr>
          <w:spacing w:val="-45"/>
        </w:rPr>
        <w:t> 年 </w:t>
      </w:r>
      <w:r>
        <w:rPr/>
        <w:t>1</w:t>
      </w:r>
      <w:r>
        <w:rPr>
          <w:spacing w:val="-45"/>
        </w:rPr>
        <w:t> 月 </w:t>
      </w:r>
      <w:r>
        <w:rPr/>
        <w:t>13 日由潍坊市环保局滨海分局以潍滨环表审字（17003）</w:t>
      </w:r>
      <w:r>
        <w:rPr>
          <w:spacing w:val="10"/>
        </w:rPr>
        <w:t>批复，于 </w:t>
      </w:r>
      <w:r>
        <w:rPr/>
        <w:t>2017 </w:t>
      </w:r>
      <w:r>
        <w:rPr>
          <w:spacing w:val="-36"/>
        </w:rPr>
        <w:t>年 </w:t>
      </w:r>
      <w:r>
        <w:rPr/>
        <w:t>7</w:t>
      </w:r>
      <w:r>
        <w:rPr>
          <w:spacing w:val="-9"/>
        </w:rPr>
        <w:t> 月通过了自主验收。</w:t>
      </w:r>
    </w:p>
    <w:p>
      <w:pPr>
        <w:pStyle w:val="BodyText"/>
        <w:spacing w:line="357" w:lineRule="exact"/>
        <w:ind w:left="780"/>
      </w:pPr>
      <w:r>
        <w:rPr/>
        <w:t>现有项目审批验收情况，详见表 2-1-1。</w:t>
      </w:r>
    </w:p>
    <w:p>
      <w:pPr>
        <w:spacing w:after="0" w:line="357" w:lineRule="exact"/>
        <w:sectPr>
          <w:pgSz w:w="11910" w:h="16840"/>
          <w:pgMar w:header="0" w:footer="984" w:top="1580" w:bottom="1180" w:left="1480" w:right="1420"/>
        </w:sectPr>
      </w:pPr>
    </w:p>
    <w:p>
      <w:pPr>
        <w:tabs>
          <w:tab w:pos="1697" w:val="left" w:leader="none"/>
        </w:tabs>
        <w:spacing w:before="102"/>
        <w:ind w:left="219" w:right="0" w:firstLine="0"/>
        <w:jc w:val="center"/>
        <w:rPr>
          <w:b/>
          <w:sz w:val="28"/>
        </w:rPr>
      </w:pPr>
      <w:r>
        <w:rPr>
          <w:b/>
          <w:sz w:val="28"/>
        </w:rPr>
        <w:t>表</w:t>
      </w:r>
      <w:r>
        <w:rPr>
          <w:b/>
          <w:spacing w:val="-70"/>
          <w:sz w:val="28"/>
        </w:rPr>
        <w:t> </w:t>
      </w:r>
      <w:r>
        <w:rPr>
          <w:b/>
          <w:sz w:val="28"/>
        </w:rPr>
        <w:t>2-1-1</w:t>
        <w:tab/>
        <w:t>现有项目环评审批及验收情况表</w:t>
      </w:r>
    </w:p>
    <w:p>
      <w:pPr>
        <w:pStyle w:val="BodyText"/>
        <w:spacing w:before="8"/>
        <w:rPr>
          <w:b/>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511"/>
        <w:gridCol w:w="1845"/>
        <w:gridCol w:w="2407"/>
        <w:gridCol w:w="2018"/>
        <w:gridCol w:w="1236"/>
      </w:tblGrid>
      <w:tr>
        <w:trPr>
          <w:trHeight w:val="282" w:hRule="atLeast"/>
        </w:trPr>
        <w:tc>
          <w:tcPr>
            <w:tcW w:w="701" w:type="dxa"/>
          </w:tcPr>
          <w:p>
            <w:pPr>
              <w:pStyle w:val="TableParagraph"/>
              <w:spacing w:line="257" w:lineRule="exact" w:before="5"/>
              <w:ind w:left="120" w:right="111"/>
              <w:rPr>
                <w:sz w:val="21"/>
              </w:rPr>
            </w:pPr>
            <w:r>
              <w:rPr>
                <w:sz w:val="21"/>
              </w:rPr>
              <w:t>序号</w:t>
            </w:r>
          </w:p>
        </w:tc>
        <w:tc>
          <w:tcPr>
            <w:tcW w:w="2356" w:type="dxa"/>
            <w:gridSpan w:val="2"/>
          </w:tcPr>
          <w:p>
            <w:pPr>
              <w:pStyle w:val="TableParagraph"/>
              <w:spacing w:line="257" w:lineRule="exact" w:before="5"/>
              <w:ind w:left="755"/>
              <w:jc w:val="left"/>
              <w:rPr>
                <w:sz w:val="21"/>
              </w:rPr>
            </w:pPr>
            <w:r>
              <w:rPr>
                <w:sz w:val="21"/>
              </w:rPr>
              <w:t>项目名称</w:t>
            </w:r>
          </w:p>
        </w:tc>
        <w:tc>
          <w:tcPr>
            <w:tcW w:w="2407" w:type="dxa"/>
          </w:tcPr>
          <w:p>
            <w:pPr>
              <w:pStyle w:val="TableParagraph"/>
              <w:spacing w:line="257" w:lineRule="exact" w:before="5"/>
              <w:ind w:left="257"/>
              <w:jc w:val="left"/>
              <w:rPr>
                <w:sz w:val="21"/>
              </w:rPr>
            </w:pPr>
            <w:r>
              <w:rPr>
                <w:sz w:val="21"/>
              </w:rPr>
              <w:t>环评批复部门及时间</w:t>
            </w:r>
          </w:p>
        </w:tc>
        <w:tc>
          <w:tcPr>
            <w:tcW w:w="2018" w:type="dxa"/>
          </w:tcPr>
          <w:p>
            <w:pPr>
              <w:pStyle w:val="TableParagraph"/>
              <w:spacing w:line="257" w:lineRule="exact" w:before="5"/>
              <w:ind w:left="358" w:right="349"/>
              <w:rPr>
                <w:sz w:val="21"/>
              </w:rPr>
            </w:pPr>
            <w:r>
              <w:rPr>
                <w:sz w:val="21"/>
              </w:rPr>
              <w:t>竣工环保验收</w:t>
            </w:r>
          </w:p>
        </w:tc>
        <w:tc>
          <w:tcPr>
            <w:tcW w:w="1236" w:type="dxa"/>
          </w:tcPr>
          <w:p>
            <w:pPr>
              <w:pStyle w:val="TableParagraph"/>
              <w:spacing w:line="257" w:lineRule="exact" w:before="5"/>
              <w:ind w:left="115" w:right="101"/>
              <w:rPr>
                <w:sz w:val="21"/>
              </w:rPr>
            </w:pPr>
            <w:r>
              <w:rPr>
                <w:sz w:val="21"/>
              </w:rPr>
              <w:t>备注</w:t>
            </w:r>
          </w:p>
        </w:tc>
      </w:tr>
      <w:tr>
        <w:trPr>
          <w:trHeight w:val="1089" w:hRule="atLeast"/>
        </w:trPr>
        <w:tc>
          <w:tcPr>
            <w:tcW w:w="701" w:type="dxa"/>
          </w:tcPr>
          <w:p>
            <w:pPr>
              <w:pStyle w:val="TableParagraph"/>
              <w:spacing w:before="5"/>
              <w:jc w:val="left"/>
              <w:rPr>
                <w:b/>
                <w:sz w:val="32"/>
              </w:rPr>
            </w:pPr>
          </w:p>
          <w:p>
            <w:pPr>
              <w:pStyle w:val="TableParagraph"/>
              <w:ind w:left="9"/>
              <w:rPr>
                <w:rFonts w:ascii="Times New Roman"/>
                <w:sz w:val="21"/>
              </w:rPr>
            </w:pPr>
            <w:r>
              <w:rPr>
                <w:rFonts w:ascii="Times New Roman"/>
                <w:w w:val="100"/>
                <w:sz w:val="21"/>
              </w:rPr>
              <w:t>1</w:t>
            </w:r>
          </w:p>
        </w:tc>
        <w:tc>
          <w:tcPr>
            <w:tcW w:w="511" w:type="dxa"/>
            <w:vMerge w:val="restart"/>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line="242" w:lineRule="auto" w:before="164"/>
              <w:ind w:left="148" w:right="139"/>
              <w:jc w:val="both"/>
              <w:rPr>
                <w:sz w:val="21"/>
              </w:rPr>
            </w:pPr>
            <w:r>
              <w:rPr>
                <w:sz w:val="21"/>
              </w:rPr>
              <w:t>现有工程</w:t>
            </w:r>
          </w:p>
        </w:tc>
        <w:tc>
          <w:tcPr>
            <w:tcW w:w="1845" w:type="dxa"/>
          </w:tcPr>
          <w:p>
            <w:pPr>
              <w:pStyle w:val="TableParagraph"/>
              <w:spacing w:before="3"/>
              <w:jc w:val="left"/>
              <w:rPr>
                <w:b/>
                <w:sz w:val="21"/>
              </w:rPr>
            </w:pPr>
          </w:p>
          <w:p>
            <w:pPr>
              <w:pStyle w:val="TableParagraph"/>
              <w:spacing w:line="244" w:lineRule="auto"/>
              <w:ind w:left="710" w:right="57" w:hanging="576"/>
              <w:jc w:val="left"/>
              <w:rPr>
                <w:sz w:val="21"/>
              </w:rPr>
            </w:pPr>
            <w:r>
              <w:rPr>
                <w:sz w:val="21"/>
              </w:rPr>
              <w:t>年产 </w:t>
            </w:r>
            <w:r>
              <w:rPr>
                <w:rFonts w:ascii="Times New Roman" w:eastAsia="Times New Roman"/>
                <w:sz w:val="21"/>
              </w:rPr>
              <w:t>2000 </w:t>
            </w:r>
            <w:r>
              <w:rPr>
                <w:sz w:val="21"/>
              </w:rPr>
              <w:t>吨乙腈项目</w:t>
            </w:r>
          </w:p>
        </w:tc>
        <w:tc>
          <w:tcPr>
            <w:tcW w:w="2407" w:type="dxa"/>
            <w:vMerge w:val="restart"/>
          </w:tcPr>
          <w:p>
            <w:pPr>
              <w:pStyle w:val="TableParagraph"/>
              <w:spacing w:before="11"/>
              <w:jc w:val="left"/>
              <w:rPr>
                <w:b/>
                <w:sz w:val="31"/>
              </w:rPr>
            </w:pPr>
          </w:p>
          <w:p>
            <w:pPr>
              <w:pStyle w:val="TableParagraph"/>
              <w:spacing w:line="242" w:lineRule="auto" w:before="1"/>
              <w:ind w:left="108" w:right="-15" w:hanging="106"/>
              <w:rPr>
                <w:sz w:val="21"/>
              </w:rPr>
            </w:pPr>
            <w:r>
              <w:rPr>
                <w:rFonts w:ascii="Times New Roman" w:eastAsia="Times New Roman"/>
                <w:sz w:val="21"/>
              </w:rPr>
              <w:t>2008</w:t>
            </w:r>
            <w:r>
              <w:rPr>
                <w:rFonts w:ascii="Times New Roman" w:eastAsia="Times New Roman"/>
                <w:spacing w:val="-23"/>
                <w:sz w:val="21"/>
              </w:rPr>
              <w:t> </w:t>
            </w:r>
            <w:r>
              <w:rPr>
                <w:spacing w:val="31"/>
                <w:sz w:val="21"/>
              </w:rPr>
              <w:t>年</w:t>
            </w:r>
            <w:r>
              <w:rPr>
                <w:rFonts w:ascii="Times New Roman" w:eastAsia="Times New Roman"/>
                <w:sz w:val="21"/>
              </w:rPr>
              <w:t>12</w:t>
            </w:r>
            <w:r>
              <w:rPr>
                <w:rFonts w:ascii="Times New Roman" w:eastAsia="Times New Roman"/>
                <w:spacing w:val="-22"/>
                <w:sz w:val="21"/>
              </w:rPr>
              <w:t> </w:t>
            </w:r>
            <w:r>
              <w:rPr>
                <w:spacing w:val="-3"/>
                <w:sz w:val="21"/>
              </w:rPr>
              <w:t>月由潍坊市环 </w:t>
            </w:r>
            <w:r>
              <w:rPr>
                <w:spacing w:val="-5"/>
                <w:sz w:val="21"/>
              </w:rPr>
              <w:t>保局以潍环审字〔</w:t>
            </w:r>
            <w:r>
              <w:rPr>
                <w:rFonts w:ascii="Times New Roman" w:eastAsia="Times New Roman"/>
                <w:sz w:val="21"/>
              </w:rPr>
              <w:t>2008</w:t>
            </w:r>
            <w:r>
              <w:rPr>
                <w:spacing w:val="-14"/>
                <w:sz w:val="21"/>
              </w:rPr>
              <w:t>〕</w:t>
            </w:r>
            <w:r>
              <w:rPr>
                <w:rFonts w:ascii="Times New Roman" w:eastAsia="Times New Roman"/>
                <w:sz w:val="21"/>
              </w:rPr>
              <w:t>169 </w:t>
            </w:r>
            <w:r>
              <w:rPr>
                <w:spacing w:val="-3"/>
                <w:sz w:val="21"/>
              </w:rPr>
              <w:t>号文批复</w:t>
            </w:r>
          </w:p>
        </w:tc>
        <w:tc>
          <w:tcPr>
            <w:tcW w:w="2018" w:type="dxa"/>
          </w:tcPr>
          <w:p>
            <w:pPr>
              <w:pStyle w:val="TableParagraph"/>
              <w:spacing w:line="242" w:lineRule="auto" w:before="1"/>
              <w:ind w:left="168" w:right="102" w:hanging="53"/>
              <w:jc w:val="both"/>
              <w:rPr>
                <w:sz w:val="21"/>
              </w:rPr>
            </w:pPr>
            <w:r>
              <w:rPr>
                <w:spacing w:val="-26"/>
                <w:sz w:val="21"/>
              </w:rPr>
              <w:t>于 </w:t>
            </w:r>
            <w:r>
              <w:rPr>
                <w:rFonts w:ascii="Times New Roman" w:eastAsia="Times New Roman"/>
                <w:sz w:val="21"/>
              </w:rPr>
              <w:t>2011 </w:t>
            </w:r>
            <w:r>
              <w:rPr>
                <w:spacing w:val="-27"/>
                <w:sz w:val="21"/>
              </w:rPr>
              <w:t>年 </w:t>
            </w:r>
            <w:r>
              <w:rPr>
                <w:rFonts w:ascii="Times New Roman" w:eastAsia="Times New Roman"/>
                <w:sz w:val="21"/>
              </w:rPr>
              <w:t>3 </w:t>
            </w:r>
            <w:r>
              <w:rPr>
                <w:spacing w:val="-6"/>
                <w:sz w:val="21"/>
              </w:rPr>
              <w:t>月通过</w:t>
            </w:r>
            <w:r>
              <w:rPr>
                <w:spacing w:val="-3"/>
                <w:sz w:val="21"/>
              </w:rPr>
              <w:t>潍坊市环保局的验收，文号：潍环验</w:t>
            </w:r>
          </w:p>
          <w:p>
            <w:pPr>
              <w:pStyle w:val="TableParagraph"/>
              <w:spacing w:line="250" w:lineRule="exact" w:before="3"/>
              <w:ind w:left="492"/>
              <w:jc w:val="left"/>
              <w:rPr>
                <w:sz w:val="21"/>
              </w:rPr>
            </w:pPr>
            <w:r>
              <w:rPr>
                <w:rFonts w:ascii="Times New Roman" w:eastAsia="Times New Roman"/>
                <w:sz w:val="21"/>
              </w:rPr>
              <w:t>[2011]38 </w:t>
            </w:r>
            <w:r>
              <w:rPr>
                <w:sz w:val="21"/>
              </w:rPr>
              <w:t>号</w:t>
            </w:r>
          </w:p>
        </w:tc>
        <w:tc>
          <w:tcPr>
            <w:tcW w:w="1236" w:type="dxa"/>
          </w:tcPr>
          <w:p>
            <w:pPr>
              <w:pStyle w:val="TableParagraph"/>
              <w:jc w:val="left"/>
              <w:rPr>
                <w:b/>
                <w:sz w:val="20"/>
              </w:rPr>
            </w:pPr>
          </w:p>
          <w:p>
            <w:pPr>
              <w:pStyle w:val="TableParagraph"/>
              <w:spacing w:before="153"/>
              <w:ind w:left="115" w:right="103"/>
              <w:rPr>
                <w:sz w:val="21"/>
              </w:rPr>
            </w:pPr>
            <w:r>
              <w:rPr>
                <w:sz w:val="21"/>
              </w:rPr>
              <w:t>正常运行</w:t>
            </w:r>
          </w:p>
        </w:tc>
      </w:tr>
      <w:tr>
        <w:trPr>
          <w:trHeight w:val="544" w:hRule="atLeast"/>
        </w:trPr>
        <w:tc>
          <w:tcPr>
            <w:tcW w:w="701" w:type="dxa"/>
          </w:tcPr>
          <w:p>
            <w:pPr>
              <w:pStyle w:val="TableParagraph"/>
              <w:spacing w:before="144"/>
              <w:ind w:left="9"/>
              <w:rPr>
                <w:rFonts w:ascii="Times New Roman"/>
                <w:sz w:val="21"/>
              </w:rPr>
            </w:pPr>
            <w:r>
              <w:rPr>
                <w:rFonts w:ascii="Times New Roman"/>
                <w:w w:val="100"/>
                <w:sz w:val="21"/>
              </w:rPr>
              <w:t>2</w:t>
            </w:r>
          </w:p>
        </w:tc>
        <w:tc>
          <w:tcPr>
            <w:tcW w:w="511" w:type="dxa"/>
            <w:vMerge/>
            <w:tcBorders>
              <w:top w:val="nil"/>
            </w:tcBorders>
          </w:tcPr>
          <w:p>
            <w:pPr>
              <w:rPr>
                <w:sz w:val="2"/>
                <w:szCs w:val="2"/>
              </w:rPr>
            </w:pPr>
          </w:p>
        </w:tc>
        <w:tc>
          <w:tcPr>
            <w:tcW w:w="1845" w:type="dxa"/>
          </w:tcPr>
          <w:p>
            <w:pPr>
              <w:pStyle w:val="TableParagraph"/>
              <w:spacing w:before="1"/>
              <w:ind w:left="89" w:right="77"/>
              <w:rPr>
                <w:sz w:val="21"/>
              </w:rPr>
            </w:pPr>
            <w:r>
              <w:rPr>
                <w:sz w:val="21"/>
              </w:rPr>
              <w:t>年产</w:t>
            </w:r>
            <w:r>
              <w:rPr>
                <w:rFonts w:ascii="Times New Roman" w:eastAsia="Times New Roman"/>
                <w:sz w:val="21"/>
              </w:rPr>
              <w:t>10000 </w:t>
            </w:r>
            <w:r>
              <w:rPr>
                <w:sz w:val="21"/>
              </w:rPr>
              <w:t>吨溴系</w:t>
            </w:r>
          </w:p>
          <w:p>
            <w:pPr>
              <w:pStyle w:val="TableParagraph"/>
              <w:spacing w:line="250" w:lineRule="exact" w:before="4"/>
              <w:ind w:left="87" w:right="77"/>
              <w:rPr>
                <w:sz w:val="21"/>
              </w:rPr>
            </w:pPr>
            <w:r>
              <w:rPr>
                <w:sz w:val="21"/>
              </w:rPr>
              <w:t>列产品项目</w:t>
            </w:r>
          </w:p>
        </w:tc>
        <w:tc>
          <w:tcPr>
            <w:tcW w:w="2407" w:type="dxa"/>
            <w:vMerge/>
            <w:tcBorders>
              <w:top w:val="nil"/>
            </w:tcBorders>
          </w:tcPr>
          <w:p>
            <w:pPr>
              <w:rPr>
                <w:sz w:val="2"/>
                <w:szCs w:val="2"/>
              </w:rPr>
            </w:pPr>
          </w:p>
        </w:tc>
        <w:tc>
          <w:tcPr>
            <w:tcW w:w="2018" w:type="dxa"/>
          </w:tcPr>
          <w:p>
            <w:pPr>
              <w:pStyle w:val="TableParagraph"/>
              <w:spacing w:before="144"/>
              <w:ind w:left="10"/>
              <w:rPr>
                <w:rFonts w:ascii="Times New Roman"/>
                <w:sz w:val="21"/>
              </w:rPr>
            </w:pPr>
            <w:r>
              <w:rPr>
                <w:rFonts w:ascii="Times New Roman"/>
                <w:w w:val="100"/>
                <w:sz w:val="21"/>
              </w:rPr>
              <w:t>/</w:t>
            </w:r>
          </w:p>
        </w:tc>
        <w:tc>
          <w:tcPr>
            <w:tcW w:w="1236" w:type="dxa"/>
          </w:tcPr>
          <w:p>
            <w:pPr>
              <w:pStyle w:val="TableParagraph"/>
              <w:spacing w:before="1"/>
              <w:ind w:left="303"/>
              <w:jc w:val="left"/>
              <w:rPr>
                <w:sz w:val="21"/>
              </w:rPr>
            </w:pPr>
            <w:r>
              <w:rPr>
                <w:sz w:val="21"/>
              </w:rPr>
              <w:t>未开工</w:t>
            </w:r>
          </w:p>
          <w:p>
            <w:pPr>
              <w:pStyle w:val="TableParagraph"/>
              <w:spacing w:line="250" w:lineRule="exact" w:before="4"/>
              <w:ind w:left="197"/>
              <w:jc w:val="left"/>
              <w:rPr>
                <w:sz w:val="21"/>
              </w:rPr>
            </w:pPr>
            <w:r>
              <w:rPr>
                <w:spacing w:val="-1"/>
                <w:sz w:val="21"/>
              </w:rPr>
              <w:t>不再建设</w:t>
            </w:r>
          </w:p>
        </w:tc>
      </w:tr>
      <w:tr>
        <w:trPr>
          <w:trHeight w:val="546" w:hRule="atLeast"/>
        </w:trPr>
        <w:tc>
          <w:tcPr>
            <w:tcW w:w="701" w:type="dxa"/>
          </w:tcPr>
          <w:p>
            <w:pPr>
              <w:pStyle w:val="TableParagraph"/>
              <w:spacing w:before="144"/>
              <w:ind w:left="9"/>
              <w:rPr>
                <w:rFonts w:ascii="Times New Roman"/>
                <w:sz w:val="21"/>
              </w:rPr>
            </w:pPr>
            <w:r>
              <w:rPr>
                <w:rFonts w:ascii="Times New Roman"/>
                <w:w w:val="100"/>
                <w:sz w:val="21"/>
              </w:rPr>
              <w:t>3</w:t>
            </w:r>
          </w:p>
        </w:tc>
        <w:tc>
          <w:tcPr>
            <w:tcW w:w="511" w:type="dxa"/>
            <w:vMerge/>
            <w:tcBorders>
              <w:top w:val="nil"/>
            </w:tcBorders>
          </w:tcPr>
          <w:p>
            <w:pPr>
              <w:rPr>
                <w:sz w:val="2"/>
                <w:szCs w:val="2"/>
              </w:rPr>
            </w:pPr>
          </w:p>
        </w:tc>
        <w:tc>
          <w:tcPr>
            <w:tcW w:w="1845" w:type="dxa"/>
          </w:tcPr>
          <w:p>
            <w:pPr>
              <w:pStyle w:val="TableParagraph"/>
              <w:spacing w:before="1"/>
              <w:ind w:left="89" w:right="77"/>
              <w:rPr>
                <w:sz w:val="21"/>
              </w:rPr>
            </w:pPr>
            <w:r>
              <w:rPr>
                <w:sz w:val="21"/>
              </w:rPr>
              <w:t>年产 </w:t>
            </w:r>
            <w:r>
              <w:rPr>
                <w:rFonts w:ascii="Times New Roman" w:eastAsia="Times New Roman"/>
                <w:sz w:val="21"/>
              </w:rPr>
              <w:t>20000t </w:t>
            </w:r>
            <w:r>
              <w:rPr>
                <w:sz w:val="21"/>
              </w:rPr>
              <w:t>多元</w:t>
            </w:r>
          </w:p>
          <w:p>
            <w:pPr>
              <w:pStyle w:val="TableParagraph"/>
              <w:spacing w:line="252" w:lineRule="exact" w:before="4"/>
              <w:ind w:left="84" w:right="77"/>
              <w:rPr>
                <w:sz w:val="21"/>
              </w:rPr>
            </w:pPr>
            <w:r>
              <w:rPr>
                <w:sz w:val="21"/>
              </w:rPr>
              <w:t>醇混合酯项目</w:t>
            </w:r>
          </w:p>
        </w:tc>
        <w:tc>
          <w:tcPr>
            <w:tcW w:w="2407" w:type="dxa"/>
            <w:vMerge w:val="restart"/>
          </w:tcPr>
          <w:p>
            <w:pPr>
              <w:pStyle w:val="TableParagraph"/>
              <w:spacing w:line="242" w:lineRule="auto" w:before="137"/>
              <w:ind w:left="95" w:right="80"/>
              <w:rPr>
                <w:sz w:val="21"/>
              </w:rPr>
            </w:pPr>
            <w:r>
              <w:rPr>
                <w:rFonts w:ascii="Times New Roman" w:eastAsia="Times New Roman"/>
                <w:sz w:val="21"/>
              </w:rPr>
              <w:t>2012 </w:t>
            </w:r>
            <w:r>
              <w:rPr>
                <w:sz w:val="21"/>
              </w:rPr>
              <w:t>年 </w:t>
            </w:r>
            <w:r>
              <w:rPr>
                <w:rFonts w:ascii="Times New Roman" w:eastAsia="Times New Roman"/>
                <w:sz w:val="21"/>
              </w:rPr>
              <w:t>8 </w:t>
            </w:r>
            <w:r>
              <w:rPr>
                <w:sz w:val="21"/>
              </w:rPr>
              <w:t>月由潍坊市环保局以潍环审字</w:t>
            </w:r>
            <w:r>
              <w:rPr>
                <w:rFonts w:ascii="Times New Roman" w:eastAsia="Times New Roman"/>
                <w:sz w:val="21"/>
              </w:rPr>
              <w:t>[2012]187 </w:t>
            </w:r>
            <w:r>
              <w:rPr>
                <w:sz w:val="21"/>
              </w:rPr>
              <w:t>号文批复</w:t>
            </w:r>
          </w:p>
        </w:tc>
        <w:tc>
          <w:tcPr>
            <w:tcW w:w="2018" w:type="dxa"/>
          </w:tcPr>
          <w:p>
            <w:pPr>
              <w:pStyle w:val="TableParagraph"/>
              <w:spacing w:before="137"/>
              <w:ind w:left="358" w:right="347"/>
              <w:rPr>
                <w:sz w:val="21"/>
              </w:rPr>
            </w:pPr>
            <w:r>
              <w:rPr>
                <w:sz w:val="21"/>
              </w:rPr>
              <w:t>正在验收</w:t>
            </w:r>
          </w:p>
        </w:tc>
        <w:tc>
          <w:tcPr>
            <w:tcW w:w="1236" w:type="dxa"/>
          </w:tcPr>
          <w:p>
            <w:pPr>
              <w:pStyle w:val="TableParagraph"/>
              <w:spacing w:before="144"/>
              <w:ind w:left="16"/>
              <w:rPr>
                <w:rFonts w:ascii="Times New Roman"/>
                <w:sz w:val="21"/>
              </w:rPr>
            </w:pPr>
            <w:r>
              <w:rPr>
                <w:rFonts w:ascii="Times New Roman"/>
                <w:w w:val="100"/>
                <w:sz w:val="21"/>
              </w:rPr>
              <w:t>/</w:t>
            </w:r>
          </w:p>
        </w:tc>
      </w:tr>
      <w:tr>
        <w:trPr>
          <w:trHeight w:val="544" w:hRule="atLeast"/>
        </w:trPr>
        <w:tc>
          <w:tcPr>
            <w:tcW w:w="701" w:type="dxa"/>
          </w:tcPr>
          <w:p>
            <w:pPr>
              <w:pStyle w:val="TableParagraph"/>
              <w:spacing w:before="144"/>
              <w:ind w:left="9"/>
              <w:rPr>
                <w:rFonts w:ascii="Times New Roman"/>
                <w:sz w:val="21"/>
              </w:rPr>
            </w:pPr>
            <w:r>
              <w:rPr>
                <w:rFonts w:ascii="Times New Roman"/>
                <w:w w:val="100"/>
                <w:sz w:val="21"/>
              </w:rPr>
              <w:t>4</w:t>
            </w:r>
          </w:p>
        </w:tc>
        <w:tc>
          <w:tcPr>
            <w:tcW w:w="511" w:type="dxa"/>
            <w:vMerge/>
            <w:tcBorders>
              <w:top w:val="nil"/>
            </w:tcBorders>
          </w:tcPr>
          <w:p>
            <w:pPr>
              <w:rPr>
                <w:sz w:val="2"/>
                <w:szCs w:val="2"/>
              </w:rPr>
            </w:pPr>
          </w:p>
        </w:tc>
        <w:tc>
          <w:tcPr>
            <w:tcW w:w="1845" w:type="dxa"/>
          </w:tcPr>
          <w:p>
            <w:pPr>
              <w:pStyle w:val="TableParagraph"/>
              <w:spacing w:before="1"/>
              <w:ind w:left="134"/>
              <w:jc w:val="left"/>
              <w:rPr>
                <w:sz w:val="21"/>
              </w:rPr>
            </w:pPr>
            <w:r>
              <w:rPr>
                <w:spacing w:val="-17"/>
                <w:sz w:val="21"/>
              </w:rPr>
              <w:t>年产 </w:t>
            </w:r>
            <w:r>
              <w:rPr>
                <w:rFonts w:ascii="Times New Roman" w:eastAsia="Times New Roman"/>
                <w:sz w:val="21"/>
              </w:rPr>
              <w:t>2000 </w:t>
            </w:r>
            <w:r>
              <w:rPr>
                <w:spacing w:val="-2"/>
                <w:sz w:val="21"/>
              </w:rPr>
              <w:t>吨四氢</w:t>
            </w:r>
          </w:p>
          <w:p>
            <w:pPr>
              <w:pStyle w:val="TableParagraph"/>
              <w:spacing w:line="252" w:lineRule="exact" w:before="2"/>
              <w:ind w:left="107"/>
              <w:jc w:val="left"/>
              <w:rPr>
                <w:sz w:val="21"/>
              </w:rPr>
            </w:pPr>
            <w:r>
              <w:rPr>
                <w:spacing w:val="-8"/>
                <w:sz w:val="21"/>
              </w:rPr>
              <w:t>呋喃</w:t>
            </w:r>
            <w:r>
              <w:rPr>
                <w:spacing w:val="-5"/>
                <w:sz w:val="21"/>
              </w:rPr>
              <w:t>（</w:t>
            </w:r>
            <w:r>
              <w:rPr>
                <w:rFonts w:ascii="Times New Roman" w:eastAsia="Times New Roman"/>
                <w:spacing w:val="-5"/>
                <w:sz w:val="21"/>
              </w:rPr>
              <w:t>THF</w:t>
            </w:r>
            <w:r>
              <w:rPr>
                <w:spacing w:val="-5"/>
                <w:sz w:val="21"/>
              </w:rPr>
              <w:t>）</w:t>
            </w:r>
            <w:r>
              <w:rPr>
                <w:sz w:val="21"/>
              </w:rPr>
              <w:t>项目</w:t>
            </w:r>
          </w:p>
        </w:tc>
        <w:tc>
          <w:tcPr>
            <w:tcW w:w="2407" w:type="dxa"/>
            <w:vMerge/>
            <w:tcBorders>
              <w:top w:val="nil"/>
            </w:tcBorders>
          </w:tcPr>
          <w:p>
            <w:pPr>
              <w:rPr>
                <w:sz w:val="2"/>
                <w:szCs w:val="2"/>
              </w:rPr>
            </w:pPr>
          </w:p>
        </w:tc>
        <w:tc>
          <w:tcPr>
            <w:tcW w:w="2018" w:type="dxa"/>
          </w:tcPr>
          <w:p>
            <w:pPr>
              <w:pStyle w:val="TableParagraph"/>
              <w:spacing w:before="144"/>
              <w:ind w:left="10"/>
              <w:rPr>
                <w:rFonts w:ascii="Times New Roman"/>
                <w:sz w:val="21"/>
              </w:rPr>
            </w:pPr>
            <w:r>
              <w:rPr>
                <w:rFonts w:ascii="Times New Roman"/>
                <w:w w:val="100"/>
                <w:sz w:val="21"/>
              </w:rPr>
              <w:t>/</w:t>
            </w:r>
          </w:p>
        </w:tc>
        <w:tc>
          <w:tcPr>
            <w:tcW w:w="1236" w:type="dxa"/>
          </w:tcPr>
          <w:p>
            <w:pPr>
              <w:pStyle w:val="TableParagraph"/>
              <w:spacing w:before="1"/>
              <w:ind w:left="303"/>
              <w:jc w:val="left"/>
              <w:rPr>
                <w:sz w:val="21"/>
              </w:rPr>
            </w:pPr>
            <w:r>
              <w:rPr>
                <w:sz w:val="21"/>
              </w:rPr>
              <w:t>未开工</w:t>
            </w:r>
          </w:p>
          <w:p>
            <w:pPr>
              <w:pStyle w:val="TableParagraph"/>
              <w:spacing w:line="252" w:lineRule="exact" w:before="2"/>
              <w:ind w:left="197"/>
              <w:jc w:val="left"/>
              <w:rPr>
                <w:sz w:val="21"/>
              </w:rPr>
            </w:pPr>
            <w:r>
              <w:rPr>
                <w:spacing w:val="-1"/>
                <w:sz w:val="21"/>
              </w:rPr>
              <w:t>不再建设</w:t>
            </w:r>
          </w:p>
        </w:tc>
      </w:tr>
      <w:tr>
        <w:trPr>
          <w:trHeight w:val="2178" w:hRule="atLeast"/>
        </w:trPr>
        <w:tc>
          <w:tcPr>
            <w:tcW w:w="701" w:type="dxa"/>
          </w:tcPr>
          <w:p>
            <w:pPr>
              <w:pStyle w:val="TableParagraph"/>
              <w:jc w:val="left"/>
              <w:rPr>
                <w:b/>
                <w:sz w:val="22"/>
              </w:rPr>
            </w:pPr>
          </w:p>
          <w:p>
            <w:pPr>
              <w:pStyle w:val="TableParagraph"/>
              <w:jc w:val="left"/>
              <w:rPr>
                <w:b/>
                <w:sz w:val="22"/>
              </w:rPr>
            </w:pPr>
          </w:p>
          <w:p>
            <w:pPr>
              <w:pStyle w:val="TableParagraph"/>
              <w:spacing w:before="12"/>
              <w:jc w:val="left"/>
              <w:rPr>
                <w:b/>
                <w:sz w:val="30"/>
              </w:rPr>
            </w:pPr>
          </w:p>
          <w:p>
            <w:pPr>
              <w:pStyle w:val="TableParagraph"/>
              <w:ind w:left="9"/>
              <w:rPr>
                <w:rFonts w:ascii="Times New Roman"/>
                <w:sz w:val="21"/>
              </w:rPr>
            </w:pPr>
            <w:r>
              <w:rPr>
                <w:rFonts w:ascii="Times New Roman"/>
                <w:w w:val="100"/>
                <w:sz w:val="21"/>
              </w:rPr>
              <w:t>5</w:t>
            </w:r>
          </w:p>
        </w:tc>
        <w:tc>
          <w:tcPr>
            <w:tcW w:w="511" w:type="dxa"/>
            <w:vMerge/>
            <w:tcBorders>
              <w:top w:val="nil"/>
            </w:tcBorders>
          </w:tcPr>
          <w:p>
            <w:pPr>
              <w:rPr>
                <w:sz w:val="2"/>
                <w:szCs w:val="2"/>
              </w:rPr>
            </w:pPr>
          </w:p>
        </w:tc>
        <w:tc>
          <w:tcPr>
            <w:tcW w:w="1845" w:type="dxa"/>
          </w:tcPr>
          <w:p>
            <w:pPr>
              <w:pStyle w:val="TableParagraph"/>
              <w:jc w:val="left"/>
              <w:rPr>
                <w:b/>
                <w:sz w:val="20"/>
              </w:rPr>
            </w:pPr>
          </w:p>
          <w:p>
            <w:pPr>
              <w:pStyle w:val="TableParagraph"/>
              <w:jc w:val="left"/>
              <w:rPr>
                <w:b/>
                <w:sz w:val="20"/>
              </w:rPr>
            </w:pPr>
          </w:p>
          <w:p>
            <w:pPr>
              <w:pStyle w:val="TableParagraph"/>
              <w:spacing w:before="9"/>
              <w:jc w:val="left"/>
              <w:rPr>
                <w:b/>
                <w:sz w:val="23"/>
              </w:rPr>
            </w:pPr>
          </w:p>
          <w:p>
            <w:pPr>
              <w:pStyle w:val="TableParagraph"/>
              <w:spacing w:line="242" w:lineRule="auto"/>
              <w:ind w:left="501" w:right="148" w:hanging="341"/>
              <w:jc w:val="left"/>
              <w:rPr>
                <w:sz w:val="21"/>
              </w:rPr>
            </w:pPr>
            <w:r>
              <w:rPr>
                <w:rFonts w:ascii="Times New Roman" w:eastAsia="Times New Roman"/>
                <w:sz w:val="21"/>
              </w:rPr>
              <w:t>3000t/a </w:t>
            </w:r>
            <w:r>
              <w:rPr>
                <w:sz w:val="21"/>
              </w:rPr>
              <w:t>乙腈生产扩建项目</w:t>
            </w:r>
          </w:p>
        </w:tc>
        <w:tc>
          <w:tcPr>
            <w:tcW w:w="2407" w:type="dxa"/>
          </w:tcPr>
          <w:p>
            <w:pPr>
              <w:pStyle w:val="TableParagraph"/>
              <w:spacing w:line="242" w:lineRule="auto" w:before="1"/>
              <w:ind w:left="86" w:right="70"/>
              <w:rPr>
                <w:rFonts w:ascii="Times New Roman" w:eastAsia="Times New Roman"/>
                <w:sz w:val="21"/>
              </w:rPr>
            </w:pPr>
            <w:r>
              <w:rPr>
                <w:rFonts w:ascii="Times New Roman" w:eastAsia="Times New Roman"/>
                <w:sz w:val="21"/>
              </w:rPr>
              <w:t>2015 </w:t>
            </w:r>
            <w:r>
              <w:rPr>
                <w:spacing w:val="-33"/>
                <w:sz w:val="21"/>
              </w:rPr>
              <w:t>年 </w:t>
            </w:r>
            <w:r>
              <w:rPr>
                <w:rFonts w:ascii="Times New Roman" w:eastAsia="Times New Roman"/>
                <w:sz w:val="21"/>
              </w:rPr>
              <w:t>6 </w:t>
            </w:r>
            <w:r>
              <w:rPr>
                <w:spacing w:val="-33"/>
                <w:sz w:val="21"/>
              </w:rPr>
              <w:t>月 </w:t>
            </w:r>
            <w:r>
              <w:rPr>
                <w:rFonts w:ascii="Times New Roman" w:eastAsia="Times New Roman"/>
                <w:sz w:val="21"/>
              </w:rPr>
              <w:t>15 </w:t>
            </w:r>
            <w:r>
              <w:rPr>
                <w:spacing w:val="-5"/>
                <w:sz w:val="21"/>
              </w:rPr>
              <w:t>日由潍坊</w:t>
            </w:r>
            <w:r>
              <w:rPr>
                <w:spacing w:val="-3"/>
                <w:sz w:val="21"/>
              </w:rPr>
              <w:t>市环保局滨海分局以潍滨环审字〔</w:t>
            </w:r>
            <w:r>
              <w:rPr>
                <w:rFonts w:ascii="Times New Roman" w:eastAsia="Times New Roman"/>
                <w:sz w:val="21"/>
              </w:rPr>
              <w:t>2015</w:t>
            </w:r>
            <w:r>
              <w:rPr>
                <w:sz w:val="21"/>
              </w:rPr>
              <w:t>〕</w:t>
            </w:r>
            <w:r>
              <w:rPr>
                <w:rFonts w:ascii="Times New Roman" w:eastAsia="Times New Roman"/>
                <w:sz w:val="21"/>
              </w:rPr>
              <w:t>20 </w:t>
            </w:r>
            <w:r>
              <w:rPr>
                <w:sz w:val="21"/>
              </w:rPr>
              <w:t>号</w:t>
            </w:r>
            <w:r>
              <w:rPr>
                <w:spacing w:val="-3"/>
                <w:sz w:val="21"/>
              </w:rPr>
              <w:t>文批复，重新报批后</w:t>
            </w:r>
            <w:r>
              <w:rPr>
                <w:rFonts w:ascii="Times New Roman" w:eastAsia="Times New Roman"/>
                <w:spacing w:val="-3"/>
                <w:sz w:val="21"/>
              </w:rPr>
              <w:t>2016 </w:t>
            </w:r>
            <w:r>
              <w:rPr>
                <w:spacing w:val="-26"/>
                <w:sz w:val="21"/>
              </w:rPr>
              <w:t>年 </w:t>
            </w:r>
            <w:r>
              <w:rPr>
                <w:rFonts w:ascii="Times New Roman" w:eastAsia="Times New Roman"/>
                <w:sz w:val="21"/>
              </w:rPr>
              <w:t>10 </w:t>
            </w:r>
            <w:r>
              <w:rPr>
                <w:spacing w:val="-26"/>
                <w:sz w:val="21"/>
              </w:rPr>
              <w:t>月 </w:t>
            </w:r>
            <w:r>
              <w:rPr>
                <w:rFonts w:ascii="Times New Roman" w:eastAsia="Times New Roman"/>
                <w:sz w:val="21"/>
              </w:rPr>
              <w:t>11 </w:t>
            </w:r>
            <w:r>
              <w:rPr>
                <w:spacing w:val="-2"/>
                <w:sz w:val="21"/>
              </w:rPr>
              <w:t>日由潍</w:t>
            </w:r>
            <w:r>
              <w:rPr>
                <w:spacing w:val="-3"/>
                <w:sz w:val="21"/>
              </w:rPr>
              <w:t>坊市环保局滨海分局以潍滨环审字〔</w:t>
            </w:r>
            <w:r>
              <w:rPr>
                <w:rFonts w:ascii="Times New Roman" w:eastAsia="Times New Roman"/>
                <w:sz w:val="21"/>
              </w:rPr>
              <w:t>2016</w:t>
            </w:r>
            <w:r>
              <w:rPr>
                <w:spacing w:val="-3"/>
                <w:sz w:val="21"/>
              </w:rPr>
              <w:t>〕</w:t>
            </w:r>
            <w:r>
              <w:rPr>
                <w:rFonts w:ascii="Times New Roman" w:eastAsia="Times New Roman"/>
                <w:sz w:val="21"/>
              </w:rPr>
              <w:t>16</w:t>
            </w:r>
          </w:p>
          <w:p>
            <w:pPr>
              <w:pStyle w:val="TableParagraph"/>
              <w:spacing w:line="252" w:lineRule="exact" w:before="3"/>
              <w:ind w:left="88" w:right="80"/>
              <w:rPr>
                <w:sz w:val="21"/>
              </w:rPr>
            </w:pPr>
            <w:r>
              <w:rPr>
                <w:sz w:val="21"/>
              </w:rPr>
              <w:t>号批复</w:t>
            </w:r>
          </w:p>
        </w:tc>
        <w:tc>
          <w:tcPr>
            <w:tcW w:w="2018" w:type="dxa"/>
          </w:tcPr>
          <w:p>
            <w:pPr>
              <w:pStyle w:val="TableParagraph"/>
              <w:jc w:val="left"/>
              <w:rPr>
                <w:b/>
                <w:sz w:val="20"/>
              </w:rPr>
            </w:pPr>
          </w:p>
          <w:p>
            <w:pPr>
              <w:pStyle w:val="TableParagraph"/>
              <w:jc w:val="left"/>
              <w:rPr>
                <w:b/>
                <w:sz w:val="20"/>
              </w:rPr>
            </w:pPr>
          </w:p>
          <w:p>
            <w:pPr>
              <w:pStyle w:val="TableParagraph"/>
              <w:spacing w:before="9"/>
              <w:jc w:val="left"/>
              <w:rPr>
                <w:b/>
                <w:sz w:val="23"/>
              </w:rPr>
            </w:pPr>
          </w:p>
          <w:p>
            <w:pPr>
              <w:pStyle w:val="TableParagraph"/>
              <w:spacing w:line="242" w:lineRule="auto"/>
              <w:ind w:left="588" w:right="41" w:hanging="480"/>
              <w:jc w:val="left"/>
              <w:rPr>
                <w:sz w:val="21"/>
              </w:rPr>
            </w:pPr>
            <w:r>
              <w:rPr>
                <w:spacing w:val="31"/>
                <w:sz w:val="21"/>
              </w:rPr>
              <w:t>于</w:t>
            </w:r>
            <w:r>
              <w:rPr>
                <w:rFonts w:ascii="Times New Roman" w:eastAsia="Times New Roman"/>
                <w:sz w:val="21"/>
              </w:rPr>
              <w:t>2017 </w:t>
            </w:r>
            <w:r>
              <w:rPr>
                <w:spacing w:val="31"/>
                <w:sz w:val="21"/>
              </w:rPr>
              <w:t>年</w:t>
            </w:r>
            <w:r>
              <w:rPr>
                <w:rFonts w:ascii="Times New Roman" w:eastAsia="Times New Roman"/>
                <w:sz w:val="21"/>
              </w:rPr>
              <w:t>10 </w:t>
            </w:r>
            <w:r>
              <w:rPr>
                <w:spacing w:val="-6"/>
                <w:sz w:val="21"/>
              </w:rPr>
              <w:t>月通过</w:t>
            </w:r>
            <w:r>
              <w:rPr>
                <w:spacing w:val="-1"/>
                <w:sz w:val="21"/>
              </w:rPr>
              <w:t>自主验收</w:t>
            </w:r>
          </w:p>
        </w:tc>
        <w:tc>
          <w:tcPr>
            <w:tcW w:w="123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5"/>
              <w:jc w:val="left"/>
              <w:rPr>
                <w:b/>
                <w:sz w:val="14"/>
              </w:rPr>
            </w:pPr>
          </w:p>
          <w:p>
            <w:pPr>
              <w:pStyle w:val="TableParagraph"/>
              <w:ind w:left="115" w:right="103"/>
              <w:rPr>
                <w:sz w:val="21"/>
              </w:rPr>
            </w:pPr>
            <w:r>
              <w:rPr>
                <w:sz w:val="21"/>
              </w:rPr>
              <w:t>正常运行</w:t>
            </w:r>
          </w:p>
        </w:tc>
      </w:tr>
      <w:tr>
        <w:trPr>
          <w:trHeight w:val="1089" w:hRule="atLeast"/>
        </w:trPr>
        <w:tc>
          <w:tcPr>
            <w:tcW w:w="701" w:type="dxa"/>
          </w:tcPr>
          <w:p>
            <w:pPr>
              <w:pStyle w:val="TableParagraph"/>
              <w:spacing w:before="5"/>
              <w:jc w:val="left"/>
              <w:rPr>
                <w:b/>
                <w:sz w:val="32"/>
              </w:rPr>
            </w:pPr>
          </w:p>
          <w:p>
            <w:pPr>
              <w:pStyle w:val="TableParagraph"/>
              <w:ind w:left="9"/>
              <w:rPr>
                <w:rFonts w:ascii="Times New Roman"/>
                <w:sz w:val="21"/>
              </w:rPr>
            </w:pPr>
            <w:r>
              <w:rPr>
                <w:rFonts w:ascii="Times New Roman"/>
                <w:w w:val="100"/>
                <w:sz w:val="21"/>
              </w:rPr>
              <w:t>6</w:t>
            </w:r>
          </w:p>
        </w:tc>
        <w:tc>
          <w:tcPr>
            <w:tcW w:w="511" w:type="dxa"/>
            <w:vMerge/>
            <w:tcBorders>
              <w:top w:val="nil"/>
            </w:tcBorders>
          </w:tcPr>
          <w:p>
            <w:pPr>
              <w:rPr>
                <w:sz w:val="2"/>
                <w:szCs w:val="2"/>
              </w:rPr>
            </w:pPr>
          </w:p>
        </w:tc>
        <w:tc>
          <w:tcPr>
            <w:tcW w:w="1845" w:type="dxa"/>
          </w:tcPr>
          <w:p>
            <w:pPr>
              <w:pStyle w:val="TableParagraph"/>
              <w:spacing w:before="3"/>
              <w:jc w:val="left"/>
              <w:rPr>
                <w:b/>
                <w:sz w:val="21"/>
              </w:rPr>
            </w:pPr>
          </w:p>
          <w:p>
            <w:pPr>
              <w:pStyle w:val="TableParagraph"/>
              <w:spacing w:line="242" w:lineRule="auto"/>
              <w:ind w:left="604" w:right="169" w:hanging="421"/>
              <w:jc w:val="left"/>
              <w:rPr>
                <w:sz w:val="21"/>
              </w:rPr>
            </w:pPr>
            <w:r>
              <w:rPr>
                <w:rFonts w:ascii="Times New Roman" w:eastAsia="Times New Roman"/>
                <w:sz w:val="21"/>
              </w:rPr>
              <w:t>500 </w:t>
            </w:r>
            <w:r>
              <w:rPr>
                <w:sz w:val="21"/>
              </w:rPr>
              <w:t>吨</w:t>
            </w:r>
            <w:r>
              <w:rPr>
                <w:rFonts w:ascii="Times New Roman" w:eastAsia="Times New Roman"/>
                <w:sz w:val="21"/>
              </w:rPr>
              <w:t>/</w:t>
            </w:r>
            <w:r>
              <w:rPr>
                <w:sz w:val="21"/>
              </w:rPr>
              <w:t>年乙腈灌装项目</w:t>
            </w:r>
          </w:p>
        </w:tc>
        <w:tc>
          <w:tcPr>
            <w:tcW w:w="2407" w:type="dxa"/>
          </w:tcPr>
          <w:p>
            <w:pPr>
              <w:pStyle w:val="TableParagraph"/>
              <w:spacing w:line="242" w:lineRule="auto" w:before="1"/>
              <w:ind w:left="108" w:right="92"/>
              <w:jc w:val="both"/>
              <w:rPr>
                <w:sz w:val="21"/>
              </w:rPr>
            </w:pPr>
            <w:r>
              <w:rPr>
                <w:rFonts w:ascii="Times New Roman" w:eastAsia="Times New Roman"/>
                <w:sz w:val="21"/>
              </w:rPr>
              <w:t>2017</w:t>
            </w:r>
            <w:r>
              <w:rPr>
                <w:rFonts w:ascii="Times New Roman" w:eastAsia="Times New Roman"/>
                <w:spacing w:val="-13"/>
                <w:sz w:val="21"/>
              </w:rPr>
              <w:t> </w:t>
            </w:r>
            <w:r>
              <w:rPr>
                <w:spacing w:val="-33"/>
                <w:sz w:val="21"/>
              </w:rPr>
              <w:t>年 </w:t>
            </w:r>
            <w:r>
              <w:rPr>
                <w:rFonts w:ascii="Times New Roman" w:eastAsia="Times New Roman"/>
                <w:sz w:val="21"/>
              </w:rPr>
              <w:t>1</w:t>
            </w:r>
            <w:r>
              <w:rPr>
                <w:rFonts w:ascii="Times New Roman" w:eastAsia="Times New Roman"/>
                <w:spacing w:val="-13"/>
                <w:sz w:val="21"/>
              </w:rPr>
              <w:t> </w:t>
            </w:r>
            <w:r>
              <w:rPr>
                <w:spacing w:val="-33"/>
                <w:sz w:val="21"/>
              </w:rPr>
              <w:t>月 </w:t>
            </w:r>
            <w:r>
              <w:rPr>
                <w:rFonts w:ascii="Times New Roman" w:eastAsia="Times New Roman"/>
                <w:sz w:val="21"/>
              </w:rPr>
              <w:t>13</w:t>
            </w:r>
            <w:r>
              <w:rPr>
                <w:rFonts w:ascii="Times New Roman" w:eastAsia="Times New Roman"/>
                <w:spacing w:val="-15"/>
                <w:sz w:val="21"/>
              </w:rPr>
              <w:t> </w:t>
            </w:r>
            <w:r>
              <w:rPr>
                <w:spacing w:val="-5"/>
                <w:sz w:val="21"/>
              </w:rPr>
              <w:t>日由潍坊</w:t>
            </w:r>
            <w:r>
              <w:rPr>
                <w:spacing w:val="-3"/>
                <w:sz w:val="21"/>
              </w:rPr>
              <w:t>市环保局滨海分局以潍</w:t>
            </w:r>
            <w:r>
              <w:rPr>
                <w:spacing w:val="-4"/>
                <w:sz w:val="21"/>
              </w:rPr>
              <w:t>滨环表审字</w:t>
            </w:r>
            <w:r>
              <w:rPr>
                <w:sz w:val="21"/>
              </w:rPr>
              <w:t>（</w:t>
            </w:r>
            <w:r>
              <w:rPr>
                <w:rFonts w:ascii="Times New Roman" w:eastAsia="Times New Roman"/>
                <w:sz w:val="21"/>
              </w:rPr>
              <w:t>17003</w:t>
            </w:r>
            <w:r>
              <w:rPr>
                <w:sz w:val="21"/>
              </w:rPr>
              <w:t>）</w:t>
            </w:r>
            <w:r>
              <w:rPr>
                <w:spacing w:val="-14"/>
                <w:sz w:val="21"/>
              </w:rPr>
              <w:t>批</w:t>
            </w:r>
          </w:p>
          <w:p>
            <w:pPr>
              <w:pStyle w:val="TableParagraph"/>
              <w:spacing w:line="252" w:lineRule="exact"/>
              <w:ind w:left="8"/>
              <w:rPr>
                <w:sz w:val="21"/>
              </w:rPr>
            </w:pPr>
            <w:r>
              <w:rPr>
                <w:w w:val="100"/>
                <w:sz w:val="21"/>
              </w:rPr>
              <w:t>复</w:t>
            </w:r>
          </w:p>
        </w:tc>
        <w:tc>
          <w:tcPr>
            <w:tcW w:w="2018" w:type="dxa"/>
          </w:tcPr>
          <w:p>
            <w:pPr>
              <w:pStyle w:val="TableParagraph"/>
              <w:spacing w:before="3"/>
              <w:jc w:val="left"/>
              <w:rPr>
                <w:b/>
                <w:sz w:val="21"/>
              </w:rPr>
            </w:pPr>
          </w:p>
          <w:p>
            <w:pPr>
              <w:pStyle w:val="TableParagraph"/>
              <w:spacing w:line="242" w:lineRule="auto"/>
              <w:ind w:left="588" w:right="102" w:hanging="473"/>
              <w:jc w:val="left"/>
              <w:rPr>
                <w:sz w:val="21"/>
              </w:rPr>
            </w:pPr>
            <w:r>
              <w:rPr>
                <w:spacing w:val="-26"/>
                <w:sz w:val="21"/>
              </w:rPr>
              <w:t>于 </w:t>
            </w:r>
            <w:r>
              <w:rPr>
                <w:rFonts w:ascii="Times New Roman" w:eastAsia="Times New Roman"/>
                <w:sz w:val="21"/>
              </w:rPr>
              <w:t>2017 </w:t>
            </w:r>
            <w:r>
              <w:rPr>
                <w:spacing w:val="-27"/>
                <w:sz w:val="21"/>
              </w:rPr>
              <w:t>年 </w:t>
            </w:r>
            <w:r>
              <w:rPr>
                <w:rFonts w:ascii="Times New Roman" w:eastAsia="Times New Roman"/>
                <w:sz w:val="21"/>
              </w:rPr>
              <w:t>7 </w:t>
            </w:r>
            <w:r>
              <w:rPr>
                <w:spacing w:val="-6"/>
                <w:sz w:val="21"/>
              </w:rPr>
              <w:t>月通过</w:t>
            </w:r>
            <w:r>
              <w:rPr>
                <w:spacing w:val="-1"/>
                <w:sz w:val="21"/>
              </w:rPr>
              <w:t>自主验收</w:t>
            </w:r>
          </w:p>
        </w:tc>
        <w:tc>
          <w:tcPr>
            <w:tcW w:w="1236" w:type="dxa"/>
          </w:tcPr>
          <w:p>
            <w:pPr>
              <w:pStyle w:val="TableParagraph"/>
              <w:jc w:val="left"/>
              <w:rPr>
                <w:b/>
                <w:sz w:val="20"/>
              </w:rPr>
            </w:pPr>
          </w:p>
          <w:p>
            <w:pPr>
              <w:pStyle w:val="TableParagraph"/>
              <w:spacing w:before="152"/>
              <w:ind w:left="115" w:right="103"/>
              <w:rPr>
                <w:sz w:val="21"/>
              </w:rPr>
            </w:pPr>
            <w:r>
              <w:rPr>
                <w:sz w:val="21"/>
              </w:rPr>
              <w:t>正常运行</w:t>
            </w:r>
          </w:p>
        </w:tc>
      </w:tr>
    </w:tbl>
    <w:p>
      <w:pPr>
        <w:pStyle w:val="BodyText"/>
        <w:spacing w:line="364" w:lineRule="auto"/>
        <w:ind w:left="221" w:right="276" w:firstLine="559"/>
        <w:jc w:val="both"/>
      </w:pPr>
      <w:r>
        <w:rPr>
          <w:spacing w:val="-8"/>
        </w:rPr>
        <w:t>厂区建设有年产 </w:t>
      </w:r>
      <w:r>
        <w:rPr/>
        <w:t>2000t</w:t>
      </w:r>
      <w:r>
        <w:rPr>
          <w:spacing w:val="-9"/>
        </w:rPr>
        <w:t> 乙腈生产装置、</w:t>
      </w:r>
      <w:r>
        <w:rPr/>
        <w:t>20000t</w:t>
      </w:r>
      <w:r>
        <w:rPr>
          <w:spacing w:val="-10"/>
        </w:rPr>
        <w:t> 多元醇混合酯生产</w:t>
      </w:r>
      <w:r>
        <w:rPr>
          <w:spacing w:val="-11"/>
        </w:rPr>
        <w:t>装置，年处理废乙腈溶剂 </w:t>
      </w:r>
      <w:r>
        <w:rPr/>
        <w:t>6000</w:t>
      </w:r>
      <w:r>
        <w:rPr>
          <w:spacing w:val="-43"/>
        </w:rPr>
        <w:t> 吨</w:t>
      </w:r>
      <w:r>
        <w:rPr>
          <w:spacing w:val="-3"/>
        </w:rPr>
        <w:t>（</w:t>
      </w:r>
      <w:r>
        <w:rPr>
          <w:spacing w:val="33"/>
        </w:rPr>
        <w:t>来自</w:t>
      </w:r>
      <w:r>
        <w:rPr/>
        <w:t>HW02</w:t>
      </w:r>
      <w:r>
        <w:rPr>
          <w:spacing w:val="-17"/>
        </w:rPr>
        <w:t>、</w:t>
      </w:r>
      <w:r>
        <w:rPr/>
        <w:t>HW06</w:t>
      </w:r>
      <w:r>
        <w:rPr>
          <w:spacing w:val="-17"/>
        </w:rPr>
        <w:t>、</w:t>
      </w:r>
      <w:r>
        <w:rPr/>
        <w:t>HW38</w:t>
      </w:r>
      <w:r>
        <w:rPr>
          <w:spacing w:val="-17"/>
        </w:rPr>
        <w:t>、</w:t>
      </w:r>
      <w:r>
        <w:rPr>
          <w:spacing w:val="-4"/>
        </w:rPr>
        <w:t>HW49）</w:t>
      </w:r>
      <w:r>
        <w:rPr/>
        <w:t>生</w:t>
      </w:r>
      <w:r>
        <w:rPr>
          <w:spacing w:val="-9"/>
        </w:rPr>
        <w:t>产装置，生产乙腈 </w:t>
      </w:r>
      <w:r>
        <w:rPr/>
        <w:t>3000t/a。</w:t>
      </w:r>
    </w:p>
    <w:p>
      <w:pPr>
        <w:pStyle w:val="BodyText"/>
        <w:spacing w:line="364" w:lineRule="auto"/>
        <w:ind w:left="221" w:right="109" w:firstLine="559"/>
      </w:pPr>
      <w:r>
        <w:rPr>
          <w:spacing w:val="-12"/>
        </w:rPr>
        <w:t>具有年产 </w:t>
      </w:r>
      <w:r>
        <w:rPr/>
        <w:t>2000t</w:t>
      </w:r>
      <w:r>
        <w:rPr>
          <w:spacing w:val="-15"/>
        </w:rPr>
        <w:t> 乙腈、</w:t>
      </w:r>
      <w:r>
        <w:rPr/>
        <w:t>20000t</w:t>
      </w:r>
      <w:r>
        <w:rPr>
          <w:spacing w:val="-9"/>
        </w:rPr>
        <w:t> 多元醇混合酯，年处理废乙腈溶剂</w:t>
      </w:r>
      <w:r>
        <w:rPr>
          <w:spacing w:val="1"/>
          <w:w w:val="100"/>
        </w:rPr>
        <w:t>6</w:t>
      </w:r>
      <w:r>
        <w:rPr>
          <w:w w:val="100"/>
        </w:rPr>
        <w:t>0</w:t>
      </w:r>
      <w:r>
        <w:rPr>
          <w:spacing w:val="-3"/>
          <w:w w:val="100"/>
        </w:rPr>
        <w:t>0</w:t>
      </w:r>
      <w:r>
        <w:rPr>
          <w:w w:val="100"/>
        </w:rPr>
        <w:t>0</w:t>
      </w:r>
      <w:r>
        <w:rPr/>
        <w:t> </w:t>
      </w:r>
      <w:r>
        <w:rPr>
          <w:w w:val="100"/>
        </w:rPr>
        <w:t>吨（来自</w:t>
      </w:r>
      <w:r>
        <w:rPr/>
        <w:t> </w:t>
      </w:r>
      <w:r>
        <w:rPr>
          <w:w w:val="100"/>
        </w:rPr>
        <w:t>H</w:t>
      </w:r>
      <w:r>
        <w:rPr>
          <w:spacing w:val="-3"/>
          <w:w w:val="100"/>
        </w:rPr>
        <w:t>W</w:t>
      </w:r>
      <w:r>
        <w:rPr>
          <w:w w:val="100"/>
        </w:rPr>
        <w:t>0</w:t>
      </w:r>
      <w:r>
        <w:rPr>
          <w:spacing w:val="-3"/>
          <w:w w:val="100"/>
        </w:rPr>
        <w:t>2</w:t>
      </w:r>
      <w:r>
        <w:rPr>
          <w:w w:val="100"/>
        </w:rPr>
        <w:t>、HW0</w:t>
      </w:r>
      <w:r>
        <w:rPr>
          <w:spacing w:val="-3"/>
          <w:w w:val="100"/>
        </w:rPr>
        <w:t>6</w:t>
      </w:r>
      <w:r>
        <w:rPr>
          <w:w w:val="100"/>
        </w:rPr>
        <w:t>、HW3</w:t>
      </w:r>
      <w:r>
        <w:rPr>
          <w:spacing w:val="-3"/>
          <w:w w:val="100"/>
        </w:rPr>
        <w:t>8</w:t>
      </w:r>
      <w:r>
        <w:rPr>
          <w:w w:val="100"/>
        </w:rPr>
        <w:t>、HW4</w:t>
      </w:r>
      <w:r>
        <w:rPr>
          <w:spacing w:val="-3"/>
          <w:w w:val="100"/>
        </w:rPr>
        <w:t>9</w:t>
      </w:r>
      <w:r>
        <w:rPr>
          <w:spacing w:val="-140"/>
          <w:w w:val="100"/>
        </w:rPr>
        <w:t>）</w:t>
      </w:r>
      <w:r>
        <w:rPr>
          <w:spacing w:val="-2"/>
          <w:w w:val="100"/>
        </w:rPr>
        <w:t>，生产乙腈</w:t>
      </w:r>
      <w:r>
        <w:rPr>
          <w:spacing w:val="-2"/>
        </w:rPr>
        <w:t> </w:t>
      </w:r>
      <w:r>
        <w:rPr>
          <w:w w:val="100"/>
        </w:rPr>
        <w:t>3</w:t>
      </w:r>
      <w:r>
        <w:rPr>
          <w:spacing w:val="-3"/>
          <w:w w:val="100"/>
        </w:rPr>
        <w:t>0</w:t>
      </w:r>
      <w:r>
        <w:rPr>
          <w:w w:val="100"/>
        </w:rPr>
        <w:t>0</w:t>
      </w:r>
      <w:r>
        <w:rPr>
          <w:spacing w:val="-3"/>
          <w:w w:val="100"/>
        </w:rPr>
        <w:t>0</w:t>
      </w:r>
      <w:r>
        <w:rPr>
          <w:spacing w:val="1"/>
          <w:w w:val="100"/>
        </w:rPr>
        <w:t>t</w:t>
      </w:r>
      <w:r>
        <w:rPr>
          <w:w w:val="100"/>
        </w:rPr>
        <w:t>/a</w:t>
      </w:r>
      <w:r>
        <w:rPr/>
        <w:t> </w:t>
      </w:r>
      <w:r>
        <w:rPr>
          <w:w w:val="100"/>
        </w:rPr>
        <w:t>的生产</w:t>
      </w:r>
      <w:r>
        <w:rPr>
          <w:spacing w:val="-6"/>
        </w:rPr>
        <w:t>规模，</w:t>
      </w:r>
      <w:r>
        <w:rPr>
          <w:spacing w:val="-17"/>
        </w:rPr>
        <w:t>500</w:t>
      </w:r>
      <w:r>
        <w:rPr>
          <w:spacing w:val="-35"/>
        </w:rPr>
        <w:t> 吨</w:t>
      </w:r>
      <w:r>
        <w:rPr/>
        <w:t>/</w:t>
      </w:r>
      <w:r>
        <w:rPr>
          <w:spacing w:val="-15"/>
        </w:rPr>
        <w:t>年乙腈灌装生产线，年灌装 </w:t>
      </w:r>
      <w:r>
        <w:rPr/>
        <w:t>500</w:t>
      </w:r>
      <w:r>
        <w:rPr>
          <w:spacing w:val="-66"/>
        </w:rPr>
        <w:t> 吨</w:t>
      </w:r>
      <w:r>
        <w:rPr/>
        <w:t>（12.5</w:t>
      </w:r>
      <w:r>
        <w:rPr>
          <w:spacing w:val="-24"/>
        </w:rPr>
        <w:t> 万瓶</w:t>
      </w:r>
      <w:r>
        <w:rPr>
          <w:spacing w:val="-65"/>
        </w:rPr>
        <w:t>）</w:t>
      </w:r>
      <w:r>
        <w:rPr>
          <w:spacing w:val="-33"/>
        </w:rPr>
        <w:t>乙腈</w:t>
      </w:r>
      <w:r>
        <w:rPr/>
        <w:t>（灌</w:t>
      </w:r>
      <w:r>
        <w:rPr>
          <w:spacing w:val="-14"/>
        </w:rPr>
        <w:t>装量来自 </w:t>
      </w:r>
      <w:r>
        <w:rPr/>
        <w:t>2000t/a</w:t>
      </w:r>
      <w:r>
        <w:rPr>
          <w:spacing w:val="-15"/>
        </w:rPr>
        <w:t> 乙腈项目</w:t>
      </w:r>
      <w:r>
        <w:rPr>
          <w:spacing w:val="-140"/>
        </w:rPr>
        <w:t>）</w:t>
      </w:r>
      <w:r>
        <w:rPr>
          <w:spacing w:val="-7"/>
        </w:rPr>
        <w:t>。目前企业正常运行，本次预案范围为年</w:t>
      </w:r>
      <w:r>
        <w:rPr>
          <w:spacing w:val="-38"/>
        </w:rPr>
        <w:t>产 </w:t>
      </w:r>
      <w:r>
        <w:rPr/>
        <w:t>2000t</w:t>
      </w:r>
      <w:r>
        <w:rPr>
          <w:spacing w:val="-20"/>
        </w:rPr>
        <w:t> 乙腈项目、年产 </w:t>
      </w:r>
      <w:r>
        <w:rPr/>
        <w:t>20000t</w:t>
      </w:r>
      <w:r>
        <w:rPr>
          <w:spacing w:val="-11"/>
        </w:rPr>
        <w:t> 多元醇混合酯项目，年处理废乙腈溶</w:t>
      </w:r>
      <w:r>
        <w:rPr>
          <w:spacing w:val="-11"/>
          <w:w w:val="100"/>
        </w:rPr>
        <w:t>剂</w:t>
      </w:r>
      <w:r>
        <w:rPr>
          <w:spacing w:val="-71"/>
        </w:rPr>
        <w:t> </w:t>
      </w:r>
      <w:r>
        <w:rPr>
          <w:spacing w:val="1"/>
          <w:w w:val="100"/>
        </w:rPr>
        <w:t>6</w:t>
      </w:r>
      <w:r>
        <w:rPr>
          <w:w w:val="100"/>
        </w:rPr>
        <w:t>0</w:t>
      </w:r>
      <w:r>
        <w:rPr>
          <w:spacing w:val="-3"/>
          <w:w w:val="100"/>
        </w:rPr>
        <w:t>0</w:t>
      </w:r>
      <w:r>
        <w:rPr>
          <w:w w:val="100"/>
        </w:rPr>
        <w:t>0</w:t>
      </w:r>
      <w:r>
        <w:rPr>
          <w:spacing w:val="-72"/>
        </w:rPr>
        <w:t> </w:t>
      </w:r>
      <w:r>
        <w:rPr>
          <w:spacing w:val="-22"/>
          <w:w w:val="100"/>
        </w:rPr>
        <w:t>吨</w:t>
      </w:r>
      <w:r>
        <w:rPr>
          <w:w w:val="100"/>
        </w:rPr>
        <w:t>（来自</w:t>
      </w:r>
      <w:r>
        <w:rPr>
          <w:spacing w:val="-71"/>
        </w:rPr>
        <w:t> </w:t>
      </w:r>
      <w:r>
        <w:rPr>
          <w:w w:val="100"/>
        </w:rPr>
        <w:t>H</w:t>
      </w:r>
      <w:r>
        <w:rPr>
          <w:spacing w:val="-3"/>
          <w:w w:val="100"/>
        </w:rPr>
        <w:t>W</w:t>
      </w:r>
      <w:r>
        <w:rPr>
          <w:spacing w:val="1"/>
          <w:w w:val="100"/>
        </w:rPr>
        <w:t>0</w:t>
      </w:r>
      <w:r>
        <w:rPr>
          <w:spacing w:val="-2"/>
          <w:w w:val="100"/>
        </w:rPr>
        <w:t>2</w:t>
      </w:r>
      <w:r>
        <w:rPr>
          <w:spacing w:val="-22"/>
          <w:w w:val="100"/>
        </w:rPr>
        <w:t>、</w:t>
      </w:r>
      <w:r>
        <w:rPr>
          <w:w w:val="100"/>
        </w:rPr>
        <w:t>HW0</w:t>
      </w:r>
      <w:r>
        <w:rPr>
          <w:spacing w:val="-3"/>
          <w:w w:val="100"/>
        </w:rPr>
        <w:t>6</w:t>
      </w:r>
      <w:r>
        <w:rPr>
          <w:spacing w:val="-22"/>
          <w:w w:val="100"/>
        </w:rPr>
        <w:t>、</w:t>
      </w:r>
      <w:r>
        <w:rPr>
          <w:w w:val="100"/>
        </w:rPr>
        <w:t>HW3</w:t>
      </w:r>
      <w:r>
        <w:rPr>
          <w:spacing w:val="-3"/>
          <w:w w:val="100"/>
        </w:rPr>
        <w:t>8</w:t>
      </w:r>
      <w:r>
        <w:rPr>
          <w:spacing w:val="-22"/>
          <w:w w:val="100"/>
        </w:rPr>
        <w:t>、</w:t>
      </w:r>
      <w:r>
        <w:rPr>
          <w:w w:val="100"/>
        </w:rPr>
        <w:t>HW4</w:t>
      </w:r>
      <w:r>
        <w:rPr>
          <w:spacing w:val="-3"/>
          <w:w w:val="100"/>
        </w:rPr>
        <w:t>9</w:t>
      </w:r>
      <w:r>
        <w:rPr>
          <w:spacing w:val="-140"/>
          <w:w w:val="100"/>
        </w:rPr>
        <w:t>）</w:t>
      </w:r>
      <w:r>
        <w:rPr>
          <w:spacing w:val="-6"/>
          <w:w w:val="100"/>
        </w:rPr>
        <w:t>，生产乙腈</w:t>
      </w:r>
      <w:r>
        <w:rPr>
          <w:spacing w:val="-71"/>
        </w:rPr>
        <w:t> </w:t>
      </w:r>
      <w:r>
        <w:rPr>
          <w:w w:val="100"/>
        </w:rPr>
        <w:t>3</w:t>
      </w:r>
      <w:r>
        <w:rPr>
          <w:spacing w:val="-3"/>
          <w:w w:val="100"/>
        </w:rPr>
        <w:t>0</w:t>
      </w:r>
      <w:r>
        <w:rPr>
          <w:w w:val="100"/>
        </w:rPr>
        <w:t>00t/a</w:t>
      </w:r>
      <w:r>
        <w:rPr>
          <w:spacing w:val="-72"/>
        </w:rPr>
        <w:t> </w:t>
      </w:r>
      <w:r>
        <w:rPr>
          <w:spacing w:val="-2"/>
          <w:w w:val="100"/>
        </w:rPr>
        <w:t>项目、 </w:t>
      </w:r>
      <w:r>
        <w:rPr>
          <w:spacing w:val="-2"/>
        </w:rPr>
        <w:t>500</w:t>
      </w:r>
      <w:r>
        <w:rPr>
          <w:spacing w:val="-16"/>
        </w:rPr>
        <w:t> 吨</w:t>
      </w:r>
      <w:r>
        <w:rPr/>
        <w:t>/</w:t>
      </w:r>
      <w:r>
        <w:rPr>
          <w:spacing w:val="-3"/>
        </w:rPr>
        <w:t>年乙腈灌装项目及配套的辅助工程、公用工程、贮运工程和环保工程。整个公司共用一个厂区，各公用设施等共用。</w:t>
      </w:r>
    </w:p>
    <w:p>
      <w:pPr>
        <w:pStyle w:val="ListParagraph"/>
        <w:numPr>
          <w:ilvl w:val="2"/>
          <w:numId w:val="4"/>
        </w:numPr>
        <w:tabs>
          <w:tab w:pos="1278" w:val="left" w:leader="none"/>
        </w:tabs>
        <w:spacing w:line="352" w:lineRule="exact" w:before="0" w:after="0"/>
        <w:ind w:left="1277" w:right="0" w:hanging="776"/>
        <w:jc w:val="left"/>
        <w:rPr>
          <w:b/>
          <w:sz w:val="28"/>
        </w:rPr>
      </w:pPr>
      <w:r>
        <w:rPr>
          <w:b/>
          <w:sz w:val="28"/>
        </w:rPr>
        <w:t>公司平面布置</w:t>
      </w:r>
    </w:p>
    <w:p>
      <w:pPr>
        <w:pStyle w:val="BodyText"/>
        <w:spacing w:before="184"/>
        <w:ind w:left="780"/>
      </w:pPr>
      <w:r>
        <w:rPr/>
        <w:t>潍坊中汇化工有限公司平面分布图见附图 3，具体平面布置叙述如</w:t>
      </w:r>
    </w:p>
    <w:p>
      <w:pPr>
        <w:spacing w:after="0"/>
        <w:sectPr>
          <w:pgSz w:w="11910" w:h="16840"/>
          <w:pgMar w:header="0" w:footer="984" w:top="1580" w:bottom="1180" w:left="1480" w:right="1420"/>
        </w:sectPr>
      </w:pPr>
    </w:p>
    <w:p>
      <w:pPr>
        <w:pStyle w:val="BodyText"/>
        <w:spacing w:before="102"/>
        <w:ind w:left="221"/>
      </w:pPr>
      <w:r>
        <w:rPr/>
        <w:t>下：</w:t>
      </w:r>
    </w:p>
    <w:p>
      <w:pPr>
        <w:pStyle w:val="BodyText"/>
        <w:spacing w:line="364" w:lineRule="auto" w:before="186"/>
        <w:ind w:left="221" w:right="240" w:firstLine="559"/>
        <w:jc w:val="both"/>
      </w:pPr>
      <w:r>
        <w:rPr>
          <w:spacing w:val="1"/>
        </w:rPr>
        <w:t>厂区呈长方形，在东围墙处分设人流、物流大门。整个厂区设 </w:t>
      </w:r>
      <w:r>
        <w:rPr/>
        <w:t>2 </w:t>
      </w:r>
      <w:r>
        <w:rPr>
          <w:spacing w:val="-23"/>
        </w:rPr>
        <w:t>条宽 </w:t>
      </w:r>
      <w:r>
        <w:rPr/>
        <w:t>8-10m</w:t>
      </w:r>
      <w:r>
        <w:rPr>
          <w:spacing w:val="-14"/>
        </w:rPr>
        <w:t> 的东西向主要道路，靠近围墙处设宽 </w:t>
      </w:r>
      <w:r>
        <w:rPr/>
        <w:t>4m</w:t>
      </w:r>
      <w:r>
        <w:rPr>
          <w:spacing w:val="-13"/>
        </w:rPr>
        <w:t> 的消防通道，另有</w:t>
      </w:r>
      <w:r>
        <w:rPr>
          <w:spacing w:val="-37"/>
        </w:rPr>
        <w:t>宽 </w:t>
      </w:r>
      <w:r>
        <w:rPr/>
        <w:t>8m</w:t>
      </w:r>
      <w:r>
        <w:rPr>
          <w:spacing w:val="-10"/>
        </w:rPr>
        <w:t> 的多条东西向道路与主要道路、消防通道贯通，形成环形通道。</w:t>
      </w:r>
      <w:r>
        <w:rPr>
          <w:spacing w:val="-3"/>
        </w:rPr>
        <w:t>全厂性综合办公楼建在厂区东南角，靠近人流出入口。</w:t>
      </w:r>
    </w:p>
    <w:p>
      <w:pPr>
        <w:pStyle w:val="BodyText"/>
        <w:spacing w:line="364" w:lineRule="auto"/>
        <w:ind w:left="221" w:right="276" w:firstLine="559"/>
        <w:jc w:val="both"/>
      </w:pPr>
      <w:r>
        <w:rPr/>
        <w:t>厂区总平面布置根据工厂的生产流程及各组成部分的生产特点和火灾危险性分类，按功能分区相对集中布置，共划分为厂南区（办公</w:t>
      </w:r>
      <w:r>
        <w:rPr>
          <w:spacing w:val="-3"/>
        </w:rPr>
        <w:t>楼、厂区预留地</w:t>
      </w:r>
      <w:r>
        <w:rPr>
          <w:spacing w:val="-140"/>
        </w:rPr>
        <w:t>）</w:t>
      </w:r>
      <w:r>
        <w:rPr>
          <w:spacing w:val="-7"/>
        </w:rPr>
        <w:t>、仓储区、生产区及动力区四个功能区，同时邻近车</w:t>
      </w:r>
      <w:r>
        <w:rPr>
          <w:spacing w:val="-5"/>
        </w:rPr>
        <w:t>间设中间罐区。</w:t>
      </w:r>
    </w:p>
    <w:p>
      <w:pPr>
        <w:pStyle w:val="BodyText"/>
        <w:spacing w:line="364" w:lineRule="auto"/>
        <w:ind w:left="221" w:right="276" w:firstLine="559"/>
        <w:jc w:val="both"/>
      </w:pPr>
      <w:r>
        <w:rPr/>
        <w:t>厂南区（办公楼、预留地）位于厂区南部，仓储区位于厂区中北部，生产区位于厂区中西部及东北部，动力区位于厂区中西部和东北部，邻近生产车间布置。</w:t>
      </w:r>
    </w:p>
    <w:p>
      <w:pPr>
        <w:pStyle w:val="BodyText"/>
        <w:spacing w:line="364" w:lineRule="auto"/>
        <w:ind w:left="221" w:right="273" w:firstLine="559"/>
        <w:jc w:val="both"/>
      </w:pPr>
      <w:r>
        <w:rPr/>
        <w:t>厂区由两条东西向主要道路分为两大区域：南部道路两侧为办公</w:t>
      </w:r>
      <w:r>
        <w:rPr>
          <w:spacing w:val="-10"/>
        </w:rPr>
        <w:t>楼，其余空地；北部道路两侧为年产 </w:t>
      </w:r>
      <w:r>
        <w:rPr/>
        <w:t>2000</w:t>
      </w:r>
      <w:r>
        <w:rPr>
          <w:spacing w:val="-10"/>
        </w:rPr>
        <w:t> 吨乙腈项目生产装置、仓储</w:t>
      </w:r>
      <w:r>
        <w:rPr>
          <w:spacing w:val="-11"/>
        </w:rPr>
        <w:t>区、动力区以及年产 </w:t>
      </w:r>
      <w:r>
        <w:rPr/>
        <w:t>20000t</w:t>
      </w:r>
      <w:r>
        <w:rPr>
          <w:spacing w:val="-12"/>
        </w:rPr>
        <w:t> 多元醇混合酯项目生产装置、仓储区、动</w:t>
      </w:r>
      <w:r>
        <w:rPr>
          <w:spacing w:val="-16"/>
        </w:rPr>
        <w:t>力区。以北部东西方向 </w:t>
      </w:r>
      <w:r>
        <w:rPr/>
        <w:t>8m</w:t>
      </w:r>
      <w:r>
        <w:rPr>
          <w:spacing w:val="-16"/>
        </w:rPr>
        <w:t> 宽道路为界，南侧自东向西依次为年产 </w:t>
      </w:r>
      <w:r>
        <w:rPr/>
        <w:t>2000 </w:t>
      </w:r>
      <w:r>
        <w:rPr>
          <w:spacing w:val="-15"/>
        </w:rPr>
        <w:t>吨乙腈项目仓库，乙腈成品储罐区，多元醇混合酯包装厂房、附房</w:t>
      </w:r>
      <w:r>
        <w:rPr/>
        <w:t>（包</w:t>
      </w:r>
      <w:r>
        <w:rPr>
          <w:spacing w:val="-6"/>
        </w:rPr>
        <w:t>括分析室、器材室、控制室、配电室、应急器材室等</w:t>
      </w:r>
      <w:r>
        <w:rPr>
          <w:spacing w:val="-140"/>
        </w:rPr>
        <w:t>）</w:t>
      </w:r>
      <w:r>
        <w:rPr>
          <w:spacing w:val="-4"/>
        </w:rPr>
        <w:t>、生产车间、循</w:t>
      </w:r>
      <w:r>
        <w:rPr/>
        <w:t>环水池，导热油锅炉房，导热油锅炉房南侧为污水处理设施；北侧自东向西依次为维修车间、五金仓库、变电室，附房（包括化验室、控制室、车间办公室、应急器材室等）及溶盐炉房，乙腈生产车间、消</w:t>
      </w:r>
      <w:r>
        <w:rPr>
          <w:spacing w:val="-6"/>
          <w:w w:val="100"/>
        </w:rPr>
        <w:t>防循环水池、事故池，醋酸、乙腈罐区</w:t>
      </w:r>
      <w:r>
        <w:rPr>
          <w:w w:val="100"/>
        </w:rPr>
        <w:t>（</w:t>
      </w:r>
      <w:r>
        <w:rPr>
          <w:spacing w:val="-1"/>
          <w:w w:val="100"/>
        </w:rPr>
        <w:t>立式罐</w:t>
      </w:r>
      <w:r>
        <w:rPr>
          <w:spacing w:val="-140"/>
          <w:w w:val="100"/>
        </w:rPr>
        <w:t>）</w:t>
      </w:r>
      <w:r>
        <w:rPr>
          <w:spacing w:val="-4"/>
          <w:w w:val="100"/>
        </w:rPr>
        <w:t>，液氨罐区、丙二醇</w:t>
      </w:r>
      <w:r>
        <w:rPr>
          <w:spacing w:val="-4"/>
        </w:rPr>
        <w:t>罐区、事故应急池。</w:t>
      </w:r>
    </w:p>
    <w:p>
      <w:pPr>
        <w:pStyle w:val="BodyText"/>
        <w:spacing w:line="364" w:lineRule="auto"/>
        <w:ind w:left="221" w:right="276" w:firstLine="559"/>
        <w:jc w:val="both"/>
      </w:pPr>
      <w:r>
        <w:rPr/>
        <w:t>3000t/a 乙腈生产扩建项目利用乙腈生产二车间，乙腈生产二车间、事故水池、循环水池、锅炉房及附房位于厂区西北部，原料和乙</w:t>
      </w:r>
    </w:p>
    <w:p>
      <w:pPr>
        <w:spacing w:after="0" w:line="364" w:lineRule="auto"/>
        <w:jc w:val="both"/>
        <w:sectPr>
          <w:pgSz w:w="11910" w:h="16840"/>
          <w:pgMar w:header="0" w:footer="984" w:top="1580" w:bottom="1180" w:left="1480" w:right="1420"/>
        </w:sectPr>
      </w:pPr>
    </w:p>
    <w:p>
      <w:pPr>
        <w:pStyle w:val="BodyText"/>
        <w:spacing w:line="364" w:lineRule="auto" w:before="102"/>
        <w:ind w:left="221" w:right="240"/>
        <w:jc w:val="both"/>
      </w:pPr>
      <w:r>
        <w:rPr>
          <w:spacing w:val="-9"/>
        </w:rPr>
        <w:t>腈成品储存依托年产 </w:t>
      </w:r>
      <w:r>
        <w:rPr/>
        <w:t>2000</w:t>
      </w:r>
      <w:r>
        <w:rPr>
          <w:spacing w:val="-10"/>
        </w:rPr>
        <w:t> 吨乙腈项目的罐区，其南为厂区主要道路、</w:t>
      </w:r>
      <w:r>
        <w:rPr>
          <w:spacing w:val="-2"/>
        </w:rPr>
        <w:t>其余方向紧邻消防道路，北部和西部为厂区围墙，东为原料罐区、南</w:t>
      </w:r>
      <w:r>
        <w:rPr>
          <w:spacing w:val="-3"/>
        </w:rPr>
        <w:t>为多元醇混合酯项目的锅炉房和循环水池。</w:t>
      </w:r>
    </w:p>
    <w:p>
      <w:pPr>
        <w:pStyle w:val="BodyText"/>
        <w:spacing w:line="364" w:lineRule="auto"/>
        <w:ind w:left="221" w:right="276" w:firstLine="559"/>
      </w:pPr>
      <w:r>
        <w:rPr/>
        <w:t>乙腈项目灌装车间位于厂区中间南部，多元醇混合酯项目包装厂房的南侧，中间隔一条生产路。</w:t>
      </w:r>
    </w:p>
    <w:p>
      <w:pPr>
        <w:pStyle w:val="BodyText"/>
        <w:spacing w:line="358" w:lineRule="exact"/>
        <w:ind w:left="780"/>
      </w:pPr>
      <w:r>
        <w:rPr/>
        <w:t>厂区平面布置功能区明确，交通便利，建筑物布置规范。</w:t>
      </w:r>
    </w:p>
    <w:p>
      <w:pPr>
        <w:pStyle w:val="ListParagraph"/>
        <w:numPr>
          <w:ilvl w:val="1"/>
          <w:numId w:val="4"/>
        </w:numPr>
        <w:tabs>
          <w:tab w:pos="717" w:val="left" w:leader="none"/>
        </w:tabs>
        <w:spacing w:line="240" w:lineRule="auto" w:before="182" w:after="0"/>
        <w:ind w:left="716" w:right="0" w:hanging="496"/>
        <w:jc w:val="both"/>
        <w:rPr>
          <w:b/>
          <w:sz w:val="28"/>
        </w:rPr>
      </w:pPr>
      <w:bookmarkStart w:name="_TOC_250058" w:id="10"/>
      <w:bookmarkEnd w:id="10"/>
      <w:r>
        <w:rPr>
          <w:b/>
          <w:sz w:val="28"/>
        </w:rPr>
        <w:t>环境概况</w:t>
      </w:r>
    </w:p>
    <w:p>
      <w:pPr>
        <w:pStyle w:val="BodyText"/>
        <w:spacing w:line="364" w:lineRule="auto" w:before="186"/>
        <w:ind w:left="221" w:right="276" w:firstLine="559"/>
        <w:jc w:val="both"/>
      </w:pPr>
      <w:r>
        <w:rPr/>
        <w:t>潍坊中汇化工有限公司位于山东潍坊滨海经济技术开发区先进制造业产业园海丰路以西，香江西二街以北地段，厂区东临海丰路，南</w:t>
      </w:r>
      <w:r>
        <w:rPr>
          <w:spacing w:val="-3"/>
        </w:rPr>
        <w:t>临潍坊市浩瀚机械有限公司</w:t>
      </w:r>
      <w:r>
        <w:rPr>
          <w:b/>
          <w:spacing w:val="-1"/>
        </w:rPr>
        <w:t>、 </w:t>
      </w:r>
      <w:r>
        <w:rPr>
          <w:spacing w:val="-5"/>
        </w:rPr>
        <w:t>潍坊华英生物科技有限公司，西临惠丰</w:t>
      </w:r>
      <w:r>
        <w:rPr>
          <w:spacing w:val="-1"/>
        </w:rPr>
        <w:t>化学有限公司，北侧是潍坊龙舜化工有限公司。项目用地性质为工业</w:t>
      </w:r>
      <w:r>
        <w:rPr/>
        <w:t>用地，项目选址符合山东潍坊滨海经济开发区土地利用总体规划；项</w:t>
      </w:r>
      <w:r>
        <w:rPr>
          <w:spacing w:val="-3"/>
        </w:rPr>
        <w:t>目周边 </w:t>
      </w:r>
      <w:r>
        <w:rPr/>
        <w:t>3.0km</w:t>
      </w:r>
      <w:r>
        <w:rPr>
          <w:spacing w:val="-4"/>
        </w:rPr>
        <w:t> 范围内没有历史文物古迹、风景名胜区及重要生态功能</w:t>
      </w:r>
      <w:r>
        <w:rPr/>
        <w:t>区。该区地理位置优越，交通优势突出，供水、供电及其它配套设施</w:t>
      </w:r>
      <w:r>
        <w:rPr>
          <w:spacing w:val="-2"/>
        </w:rPr>
        <w:t>已建成投入运营。</w:t>
      </w:r>
    </w:p>
    <w:p>
      <w:pPr>
        <w:pStyle w:val="BodyText"/>
        <w:spacing w:line="364" w:lineRule="auto"/>
        <w:ind w:left="641" w:right="242"/>
      </w:pPr>
      <w:r>
        <w:rPr/>
        <w:t>项目区域内目前没有风景名胜古迹及重要生态功能区等敏感目标。生产废水收集后进入污水处理站统一处置后接入市政污水管网，进</w:t>
      </w:r>
    </w:p>
    <w:p>
      <w:pPr>
        <w:pStyle w:val="BodyText"/>
        <w:spacing w:line="358" w:lineRule="exact"/>
        <w:ind w:left="221"/>
      </w:pPr>
      <w:r>
        <w:rPr/>
        <w:t>入潍坊渤发污水处理厂进一步处理后达标排河。</w:t>
      </w:r>
    </w:p>
    <w:p>
      <w:pPr>
        <w:pStyle w:val="BodyText"/>
        <w:spacing w:line="364" w:lineRule="auto" w:before="182"/>
        <w:ind w:left="221" w:right="278" w:firstLine="420"/>
        <w:jc w:val="both"/>
      </w:pPr>
      <w:r>
        <w:rPr>
          <w:spacing w:val="-6"/>
        </w:rPr>
        <w:t>生活污水经化粪池收集滞留后，进入污水处理站统一处置后接入市</w:t>
      </w:r>
      <w:r>
        <w:rPr>
          <w:spacing w:val="-1"/>
        </w:rPr>
        <w:t>政污水管网，进入潍坊渤发污水处理厂进一步处理后达标排河，厂区</w:t>
      </w:r>
      <w:r>
        <w:rPr>
          <w:spacing w:val="-3"/>
        </w:rPr>
        <w:t>附近配套完善的雨水管网。</w:t>
      </w:r>
    </w:p>
    <w:p>
      <w:pPr>
        <w:pStyle w:val="BodyText"/>
        <w:spacing w:line="357" w:lineRule="exact"/>
        <w:ind w:left="780"/>
      </w:pPr>
      <w:r>
        <w:rPr/>
        <w:t>公司地理位置详见附图 1。</w:t>
      </w:r>
    </w:p>
    <w:p>
      <w:pPr>
        <w:pStyle w:val="ListParagraph"/>
        <w:numPr>
          <w:ilvl w:val="1"/>
          <w:numId w:val="4"/>
        </w:numPr>
        <w:tabs>
          <w:tab w:pos="717" w:val="left" w:leader="none"/>
        </w:tabs>
        <w:spacing w:line="240" w:lineRule="auto" w:before="186" w:after="0"/>
        <w:ind w:left="716" w:right="0" w:hanging="496"/>
        <w:jc w:val="both"/>
        <w:rPr>
          <w:b/>
          <w:sz w:val="28"/>
        </w:rPr>
      </w:pPr>
      <w:bookmarkStart w:name="_TOC_250057" w:id="11"/>
      <w:bookmarkEnd w:id="11"/>
      <w:r>
        <w:rPr>
          <w:b/>
          <w:sz w:val="28"/>
        </w:rPr>
        <w:t>生产状况</w:t>
      </w:r>
    </w:p>
    <w:p>
      <w:pPr>
        <w:pStyle w:val="ListParagraph"/>
        <w:numPr>
          <w:ilvl w:val="2"/>
          <w:numId w:val="4"/>
        </w:numPr>
        <w:tabs>
          <w:tab w:pos="1278" w:val="left" w:leader="none"/>
        </w:tabs>
        <w:spacing w:line="240" w:lineRule="auto" w:before="186" w:after="0"/>
        <w:ind w:left="1277" w:right="0" w:hanging="776"/>
        <w:jc w:val="left"/>
        <w:rPr>
          <w:b/>
          <w:sz w:val="28"/>
        </w:rPr>
      </w:pPr>
      <w:r>
        <w:rPr>
          <w:b/>
          <w:sz w:val="28"/>
        </w:rPr>
        <w:t>主要原辅材料产品及生产规模</w:t>
      </w:r>
    </w:p>
    <w:p>
      <w:pPr>
        <w:pStyle w:val="BodyText"/>
        <w:spacing w:before="186"/>
        <w:ind w:left="502"/>
      </w:pPr>
      <w:r>
        <w:rPr>
          <w:spacing w:val="-16"/>
        </w:rPr>
        <w:t>主要年产 </w:t>
      </w:r>
      <w:r>
        <w:rPr/>
        <w:t>2000t</w:t>
      </w:r>
      <w:r>
        <w:rPr>
          <w:spacing w:val="-56"/>
        </w:rPr>
        <w:t> 乙腈、</w:t>
      </w:r>
      <w:r>
        <w:rPr/>
        <w:t>20000t</w:t>
      </w:r>
      <w:r>
        <w:rPr>
          <w:spacing w:val="-22"/>
        </w:rPr>
        <w:t> 多元醇混合酯，年处理废乙腈溶剂 </w:t>
      </w:r>
      <w:r>
        <w:rPr/>
        <w:t>6000</w:t>
      </w:r>
    </w:p>
    <w:p>
      <w:pPr>
        <w:spacing w:after="0"/>
        <w:sectPr>
          <w:pgSz w:w="11910" w:h="16840"/>
          <w:pgMar w:header="0" w:footer="984" w:top="1580" w:bottom="1180" w:left="1480" w:right="1420"/>
        </w:sectPr>
      </w:pPr>
    </w:p>
    <w:p>
      <w:pPr>
        <w:pStyle w:val="BodyText"/>
        <w:spacing w:line="364" w:lineRule="auto" w:before="102"/>
        <w:ind w:left="221" w:right="274"/>
      </w:pPr>
      <w:r>
        <w:rPr>
          <w:spacing w:val="-41"/>
          <w:w w:val="100"/>
        </w:rPr>
        <w:t>吨</w:t>
      </w:r>
      <w:r>
        <w:rPr>
          <w:w w:val="100"/>
        </w:rPr>
        <w:t>（来自</w:t>
      </w:r>
      <w:r>
        <w:rPr>
          <w:spacing w:val="-71"/>
        </w:rPr>
        <w:t> </w:t>
      </w:r>
      <w:r>
        <w:rPr>
          <w:w w:val="100"/>
        </w:rPr>
        <w:t>H</w:t>
      </w:r>
      <w:r>
        <w:rPr>
          <w:spacing w:val="-3"/>
          <w:w w:val="100"/>
        </w:rPr>
        <w:t>W</w:t>
      </w:r>
      <w:r>
        <w:rPr>
          <w:w w:val="100"/>
        </w:rPr>
        <w:t>0</w:t>
      </w:r>
      <w:r>
        <w:rPr>
          <w:spacing w:val="-3"/>
          <w:w w:val="100"/>
        </w:rPr>
        <w:t>2</w:t>
      </w:r>
      <w:r>
        <w:rPr>
          <w:spacing w:val="-41"/>
          <w:w w:val="100"/>
        </w:rPr>
        <w:t>、</w:t>
      </w:r>
      <w:r>
        <w:rPr>
          <w:w w:val="100"/>
        </w:rPr>
        <w:t>HW0</w:t>
      </w:r>
      <w:r>
        <w:rPr>
          <w:spacing w:val="-3"/>
          <w:w w:val="100"/>
        </w:rPr>
        <w:t>6</w:t>
      </w:r>
      <w:r>
        <w:rPr>
          <w:spacing w:val="-41"/>
          <w:w w:val="100"/>
        </w:rPr>
        <w:t>、</w:t>
      </w:r>
      <w:r>
        <w:rPr>
          <w:spacing w:val="1"/>
          <w:w w:val="100"/>
        </w:rPr>
        <w:t>H</w:t>
      </w:r>
      <w:r>
        <w:rPr>
          <w:w w:val="100"/>
        </w:rPr>
        <w:t>W</w:t>
      </w:r>
      <w:r>
        <w:rPr>
          <w:spacing w:val="-3"/>
          <w:w w:val="100"/>
        </w:rPr>
        <w:t>3</w:t>
      </w:r>
      <w:r>
        <w:rPr>
          <w:spacing w:val="-2"/>
          <w:w w:val="100"/>
        </w:rPr>
        <w:t>8</w:t>
      </w:r>
      <w:r>
        <w:rPr>
          <w:spacing w:val="-41"/>
          <w:w w:val="100"/>
        </w:rPr>
        <w:t>、</w:t>
      </w:r>
      <w:r>
        <w:rPr>
          <w:spacing w:val="1"/>
          <w:w w:val="100"/>
        </w:rPr>
        <w:t>H</w:t>
      </w:r>
      <w:r>
        <w:rPr>
          <w:w w:val="100"/>
        </w:rPr>
        <w:t>W</w:t>
      </w:r>
      <w:r>
        <w:rPr>
          <w:spacing w:val="-3"/>
          <w:w w:val="100"/>
        </w:rPr>
        <w:t>4</w:t>
      </w:r>
      <w:r>
        <w:rPr>
          <w:spacing w:val="-2"/>
          <w:w w:val="100"/>
        </w:rPr>
        <w:t>9</w:t>
      </w:r>
      <w:r>
        <w:rPr>
          <w:spacing w:val="-140"/>
          <w:w w:val="100"/>
        </w:rPr>
        <w:t>）</w:t>
      </w:r>
      <w:r>
        <w:rPr>
          <w:spacing w:val="-10"/>
          <w:w w:val="100"/>
        </w:rPr>
        <w:t>，生产乙腈</w:t>
      </w:r>
      <w:r>
        <w:rPr>
          <w:spacing w:val="-71"/>
        </w:rPr>
        <w:t> </w:t>
      </w:r>
      <w:r>
        <w:rPr>
          <w:w w:val="100"/>
        </w:rPr>
        <w:t>3</w:t>
      </w:r>
      <w:r>
        <w:rPr>
          <w:spacing w:val="-3"/>
          <w:w w:val="100"/>
        </w:rPr>
        <w:t>0</w:t>
      </w:r>
      <w:r>
        <w:rPr>
          <w:spacing w:val="1"/>
          <w:w w:val="100"/>
        </w:rPr>
        <w:t>0</w:t>
      </w:r>
      <w:r>
        <w:rPr>
          <w:w w:val="100"/>
        </w:rPr>
        <w:t>0</w:t>
      </w:r>
      <w:r>
        <w:rPr>
          <w:spacing w:val="-3"/>
          <w:w w:val="100"/>
        </w:rPr>
        <w:t>t</w:t>
      </w:r>
      <w:r>
        <w:rPr>
          <w:spacing w:val="1"/>
          <w:w w:val="100"/>
        </w:rPr>
        <w:t>/</w:t>
      </w:r>
      <w:r>
        <w:rPr>
          <w:spacing w:val="-2"/>
          <w:w w:val="100"/>
        </w:rPr>
        <w:t>a</w:t>
      </w:r>
      <w:r>
        <w:rPr>
          <w:spacing w:val="-10"/>
          <w:w w:val="100"/>
        </w:rPr>
        <w:t>，乙腈灌装</w:t>
      </w:r>
      <w:r>
        <w:rPr>
          <w:spacing w:val="-71"/>
        </w:rPr>
        <w:t> </w:t>
      </w:r>
      <w:r>
        <w:rPr>
          <w:w w:val="100"/>
        </w:rPr>
        <w:t>5</w:t>
      </w:r>
      <w:r>
        <w:rPr>
          <w:spacing w:val="-3"/>
          <w:w w:val="100"/>
        </w:rPr>
        <w:t>0</w:t>
      </w:r>
      <w:r>
        <w:rPr>
          <w:w w:val="100"/>
        </w:rPr>
        <w:t>0</w:t>
      </w:r>
      <w:r>
        <w:rPr/>
        <w:t>吨/年（</w:t>
      </w:r>
      <w:r>
        <w:rPr>
          <w:spacing w:val="-14"/>
        </w:rPr>
        <w:t>灌装量来自 </w:t>
      </w:r>
      <w:r>
        <w:rPr/>
        <w:t>2000t/a</w:t>
      </w:r>
      <w:r>
        <w:rPr>
          <w:spacing w:val="-16"/>
        </w:rPr>
        <w:t> 乙腈项目</w:t>
      </w:r>
      <w:r>
        <w:rPr>
          <w:spacing w:val="-142"/>
        </w:rPr>
        <w:t>）</w:t>
      </w:r>
      <w:r>
        <w:rPr/>
        <w:t>。</w:t>
      </w:r>
    </w:p>
    <w:p>
      <w:pPr>
        <w:spacing w:line="358" w:lineRule="exact" w:before="0"/>
        <w:ind w:left="2045" w:right="0" w:firstLine="0"/>
        <w:jc w:val="left"/>
        <w:rPr>
          <w:b/>
          <w:sz w:val="28"/>
        </w:rPr>
      </w:pPr>
      <w:r>
        <w:rPr/>
        <w:pict>
          <v:shape style="position:absolute;margin-left:80.879997pt;margin-top:27.26446pt;width:433.7pt;height:477.4pt;mso-position-horizontal-relative:page;mso-position-vertical-relative:paragraph;z-index:251670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1440"/>
                    <w:gridCol w:w="1754"/>
                    <w:gridCol w:w="1408"/>
                    <w:gridCol w:w="1226"/>
                    <w:gridCol w:w="1224"/>
                    <w:gridCol w:w="1066"/>
                  </w:tblGrid>
                  <w:tr>
                    <w:trPr>
                      <w:trHeight w:val="544" w:hRule="atLeast"/>
                    </w:trPr>
                    <w:tc>
                      <w:tcPr>
                        <w:tcW w:w="540" w:type="dxa"/>
                      </w:tcPr>
                      <w:p>
                        <w:pPr>
                          <w:pStyle w:val="TableParagraph"/>
                          <w:spacing w:before="137"/>
                          <w:ind w:left="38" w:right="31"/>
                          <w:rPr>
                            <w:sz w:val="21"/>
                          </w:rPr>
                        </w:pPr>
                        <w:r>
                          <w:rPr>
                            <w:sz w:val="21"/>
                          </w:rPr>
                          <w:t>类别</w:t>
                        </w:r>
                      </w:p>
                    </w:tc>
                    <w:tc>
                      <w:tcPr>
                        <w:tcW w:w="1440" w:type="dxa"/>
                      </w:tcPr>
                      <w:p>
                        <w:pPr>
                          <w:pStyle w:val="TableParagraph"/>
                          <w:spacing w:before="137"/>
                          <w:ind w:left="67" w:right="60"/>
                          <w:rPr>
                            <w:sz w:val="21"/>
                          </w:rPr>
                        </w:pPr>
                        <w:r>
                          <w:rPr>
                            <w:sz w:val="21"/>
                          </w:rPr>
                          <w:t>材料名称</w:t>
                        </w:r>
                      </w:p>
                    </w:tc>
                    <w:tc>
                      <w:tcPr>
                        <w:tcW w:w="1754" w:type="dxa"/>
                      </w:tcPr>
                      <w:p>
                        <w:pPr>
                          <w:pStyle w:val="TableParagraph"/>
                          <w:spacing w:before="137"/>
                          <w:ind w:left="437" w:right="427"/>
                          <w:rPr>
                            <w:sz w:val="21"/>
                          </w:rPr>
                        </w:pPr>
                        <w:r>
                          <w:rPr>
                            <w:sz w:val="21"/>
                          </w:rPr>
                          <w:t>规格型号</w:t>
                        </w:r>
                      </w:p>
                    </w:tc>
                    <w:tc>
                      <w:tcPr>
                        <w:tcW w:w="1408" w:type="dxa"/>
                      </w:tcPr>
                      <w:p>
                        <w:pPr>
                          <w:pStyle w:val="TableParagraph"/>
                          <w:spacing w:before="137"/>
                          <w:ind w:left="127" w:right="121"/>
                          <w:rPr>
                            <w:sz w:val="21"/>
                          </w:rPr>
                        </w:pPr>
                        <w:r>
                          <w:rPr>
                            <w:sz w:val="21"/>
                          </w:rPr>
                          <w:t>年用量（</w:t>
                        </w:r>
                        <w:r>
                          <w:rPr>
                            <w:rFonts w:ascii="Times New Roman" w:eastAsia="Times New Roman"/>
                            <w:sz w:val="21"/>
                          </w:rPr>
                          <w:t>t</w:t>
                        </w:r>
                        <w:r>
                          <w:rPr>
                            <w:sz w:val="21"/>
                          </w:rPr>
                          <w:t>）</w:t>
                        </w:r>
                      </w:p>
                    </w:tc>
                    <w:tc>
                      <w:tcPr>
                        <w:tcW w:w="1226" w:type="dxa"/>
                      </w:tcPr>
                      <w:p>
                        <w:pPr>
                          <w:pStyle w:val="TableParagraph"/>
                          <w:spacing w:before="137"/>
                          <w:ind w:left="278" w:right="268"/>
                          <w:rPr>
                            <w:sz w:val="21"/>
                          </w:rPr>
                        </w:pPr>
                        <w:r>
                          <w:rPr>
                            <w:sz w:val="21"/>
                          </w:rPr>
                          <w:t>包装</w:t>
                        </w:r>
                      </w:p>
                    </w:tc>
                    <w:tc>
                      <w:tcPr>
                        <w:tcW w:w="1224" w:type="dxa"/>
                      </w:tcPr>
                      <w:p>
                        <w:pPr>
                          <w:pStyle w:val="TableParagraph"/>
                          <w:spacing w:before="1"/>
                          <w:ind w:left="85"/>
                          <w:jc w:val="left"/>
                          <w:rPr>
                            <w:sz w:val="21"/>
                          </w:rPr>
                        </w:pPr>
                        <w:r>
                          <w:rPr>
                            <w:sz w:val="21"/>
                          </w:rPr>
                          <w:t>厂内日常存</w:t>
                        </w:r>
                      </w:p>
                      <w:p>
                        <w:pPr>
                          <w:pStyle w:val="TableParagraph"/>
                          <w:spacing w:line="252" w:lineRule="exact" w:before="2"/>
                          <w:ind w:left="162"/>
                          <w:jc w:val="left"/>
                          <w:rPr>
                            <w:sz w:val="21"/>
                          </w:rPr>
                        </w:pPr>
                        <w:r>
                          <w:rPr>
                            <w:sz w:val="21"/>
                          </w:rPr>
                          <w:t>储量（</w:t>
                        </w:r>
                        <w:r>
                          <w:rPr>
                            <w:rFonts w:ascii="Times New Roman" w:eastAsia="Times New Roman"/>
                            <w:sz w:val="21"/>
                          </w:rPr>
                          <w:t>t</w:t>
                        </w:r>
                        <w:r>
                          <w:rPr>
                            <w:sz w:val="21"/>
                          </w:rPr>
                          <w:t>）</w:t>
                        </w:r>
                      </w:p>
                    </w:tc>
                    <w:tc>
                      <w:tcPr>
                        <w:tcW w:w="1066" w:type="dxa"/>
                      </w:tcPr>
                      <w:p>
                        <w:pPr>
                          <w:pStyle w:val="TableParagraph"/>
                          <w:spacing w:before="1"/>
                          <w:ind w:left="8" w:right="-15"/>
                          <w:jc w:val="left"/>
                          <w:rPr>
                            <w:sz w:val="21"/>
                          </w:rPr>
                        </w:pPr>
                        <w:r>
                          <w:rPr>
                            <w:spacing w:val="-1"/>
                            <w:sz w:val="21"/>
                          </w:rPr>
                          <w:t>厂内设计存</w:t>
                        </w:r>
                      </w:p>
                      <w:p>
                        <w:pPr>
                          <w:pStyle w:val="TableParagraph"/>
                          <w:spacing w:line="252" w:lineRule="exact" w:before="2"/>
                          <w:ind w:left="83"/>
                          <w:jc w:val="left"/>
                          <w:rPr>
                            <w:sz w:val="21"/>
                          </w:rPr>
                        </w:pPr>
                        <w:r>
                          <w:rPr>
                            <w:sz w:val="21"/>
                          </w:rPr>
                          <w:t>储量（</w:t>
                        </w:r>
                        <w:r>
                          <w:rPr>
                            <w:rFonts w:ascii="Times New Roman" w:eastAsia="Times New Roman"/>
                            <w:sz w:val="21"/>
                          </w:rPr>
                          <w:t>t</w:t>
                        </w:r>
                        <w:r>
                          <w:rPr>
                            <w:sz w:val="21"/>
                          </w:rPr>
                          <w:t>）</w:t>
                        </w:r>
                      </w:p>
                    </w:tc>
                  </w:tr>
                  <w:tr>
                    <w:trPr>
                      <w:trHeight w:val="270" w:hRule="atLeast"/>
                    </w:trPr>
                    <w:tc>
                      <w:tcPr>
                        <w:tcW w:w="540" w:type="dxa"/>
                      </w:tcPr>
                      <w:p>
                        <w:pPr>
                          <w:pStyle w:val="TableParagraph"/>
                          <w:spacing w:line="250" w:lineRule="exact" w:before="1"/>
                          <w:ind w:left="7"/>
                          <w:rPr>
                            <w:sz w:val="21"/>
                          </w:rPr>
                        </w:pPr>
                        <w:r>
                          <w:rPr>
                            <w:w w:val="100"/>
                            <w:sz w:val="21"/>
                          </w:rPr>
                          <w:t>一</w:t>
                        </w:r>
                      </w:p>
                    </w:tc>
                    <w:tc>
                      <w:tcPr>
                        <w:tcW w:w="8118" w:type="dxa"/>
                        <w:gridSpan w:val="6"/>
                      </w:tcPr>
                      <w:p>
                        <w:pPr>
                          <w:pStyle w:val="TableParagraph"/>
                          <w:spacing w:line="250" w:lineRule="exact" w:before="1"/>
                          <w:ind w:left="2542" w:right="2529"/>
                          <w:rPr>
                            <w:sz w:val="21"/>
                          </w:rPr>
                        </w:pPr>
                        <w:r>
                          <w:rPr>
                            <w:rFonts w:ascii="Times New Roman" w:eastAsia="Times New Roman"/>
                            <w:sz w:val="21"/>
                          </w:rPr>
                          <w:t>2000t/a </w:t>
                        </w:r>
                        <w:r>
                          <w:rPr>
                            <w:sz w:val="21"/>
                          </w:rPr>
                          <w:t>乙腈生产项目</w:t>
                        </w:r>
                      </w:p>
                    </w:tc>
                  </w:tr>
                  <w:tr>
                    <w:trPr>
                      <w:trHeight w:val="273" w:hRule="atLeast"/>
                    </w:trPr>
                    <w:tc>
                      <w:tcPr>
                        <w:tcW w:w="540" w:type="dxa"/>
                        <w:vMerge w:val="restart"/>
                      </w:tcPr>
                      <w:p>
                        <w:pPr>
                          <w:pStyle w:val="TableParagraph"/>
                          <w:spacing w:before="12"/>
                          <w:jc w:val="left"/>
                          <w:rPr>
                            <w:sz w:val="24"/>
                          </w:rPr>
                        </w:pPr>
                      </w:p>
                      <w:p>
                        <w:pPr>
                          <w:pStyle w:val="TableParagraph"/>
                          <w:ind w:left="57"/>
                          <w:jc w:val="left"/>
                          <w:rPr>
                            <w:sz w:val="21"/>
                          </w:rPr>
                        </w:pPr>
                        <w:r>
                          <w:rPr>
                            <w:sz w:val="21"/>
                          </w:rPr>
                          <w:t>原料</w:t>
                        </w:r>
                      </w:p>
                    </w:tc>
                    <w:tc>
                      <w:tcPr>
                        <w:tcW w:w="1440" w:type="dxa"/>
                      </w:tcPr>
                      <w:p>
                        <w:pPr>
                          <w:pStyle w:val="TableParagraph"/>
                          <w:spacing w:line="252" w:lineRule="exact" w:before="1"/>
                          <w:ind w:left="69" w:right="60"/>
                          <w:rPr>
                            <w:sz w:val="21"/>
                          </w:rPr>
                        </w:pPr>
                        <w:r>
                          <w:rPr>
                            <w:sz w:val="21"/>
                          </w:rPr>
                          <w:t>醋酸</w:t>
                        </w:r>
                      </w:p>
                    </w:tc>
                    <w:tc>
                      <w:tcPr>
                        <w:tcW w:w="1754" w:type="dxa"/>
                      </w:tcPr>
                      <w:p>
                        <w:pPr>
                          <w:pStyle w:val="TableParagraph"/>
                          <w:jc w:val="left"/>
                          <w:rPr>
                            <w:rFonts w:ascii="Times New Roman"/>
                            <w:sz w:val="20"/>
                          </w:rPr>
                        </w:pPr>
                      </w:p>
                    </w:tc>
                    <w:tc>
                      <w:tcPr>
                        <w:tcW w:w="1408" w:type="dxa"/>
                      </w:tcPr>
                      <w:p>
                        <w:pPr>
                          <w:pStyle w:val="TableParagraph"/>
                          <w:spacing w:before="7"/>
                          <w:ind w:left="127" w:right="118"/>
                          <w:rPr>
                            <w:rFonts w:ascii="Times New Roman"/>
                            <w:sz w:val="21"/>
                          </w:rPr>
                        </w:pPr>
                        <w:r>
                          <w:rPr>
                            <w:rFonts w:ascii="Times New Roman"/>
                            <w:sz w:val="21"/>
                          </w:rPr>
                          <w:t>3093.8</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before="7"/>
                          <w:ind w:left="11" w:right="3"/>
                          <w:rPr>
                            <w:rFonts w:ascii="Times New Roman"/>
                            <w:sz w:val="21"/>
                          </w:rPr>
                        </w:pPr>
                        <w:r>
                          <w:rPr>
                            <w:rFonts w:ascii="Times New Roman"/>
                            <w:sz w:val="21"/>
                          </w:rPr>
                          <w:t>80</w:t>
                        </w:r>
                      </w:p>
                    </w:tc>
                    <w:tc>
                      <w:tcPr>
                        <w:tcW w:w="1066" w:type="dxa"/>
                      </w:tcPr>
                      <w:p>
                        <w:pPr>
                          <w:pStyle w:val="TableParagraph"/>
                          <w:spacing w:before="7"/>
                          <w:ind w:left="97" w:right="85"/>
                          <w:rPr>
                            <w:rFonts w:ascii="Times New Roman"/>
                            <w:sz w:val="21"/>
                          </w:rPr>
                        </w:pPr>
                        <w:r>
                          <w:rPr>
                            <w:rFonts w:ascii="Times New Roman"/>
                            <w:sz w:val="21"/>
                          </w:rPr>
                          <w:t>100</w:t>
                        </w:r>
                      </w:p>
                    </w:tc>
                  </w:tr>
                  <w:tr>
                    <w:trPr>
                      <w:trHeight w:val="311" w:hRule="atLeast"/>
                    </w:trPr>
                    <w:tc>
                      <w:tcPr>
                        <w:tcW w:w="540" w:type="dxa"/>
                        <w:vMerge/>
                        <w:tcBorders>
                          <w:top w:val="nil"/>
                        </w:tcBorders>
                      </w:tcPr>
                      <w:p>
                        <w:pPr>
                          <w:rPr>
                            <w:sz w:val="2"/>
                            <w:szCs w:val="2"/>
                          </w:rPr>
                        </w:pPr>
                      </w:p>
                    </w:tc>
                    <w:tc>
                      <w:tcPr>
                        <w:tcW w:w="1440" w:type="dxa"/>
                      </w:tcPr>
                      <w:p>
                        <w:pPr>
                          <w:pStyle w:val="TableParagraph"/>
                          <w:spacing w:before="20"/>
                          <w:ind w:left="9"/>
                          <w:rPr>
                            <w:sz w:val="21"/>
                          </w:rPr>
                        </w:pPr>
                        <w:r>
                          <w:rPr>
                            <w:w w:val="100"/>
                            <w:sz w:val="21"/>
                          </w:rPr>
                          <w:t>氨</w:t>
                        </w:r>
                      </w:p>
                    </w:tc>
                    <w:tc>
                      <w:tcPr>
                        <w:tcW w:w="1754" w:type="dxa"/>
                      </w:tcPr>
                      <w:p>
                        <w:pPr>
                          <w:pStyle w:val="TableParagraph"/>
                          <w:jc w:val="left"/>
                          <w:rPr>
                            <w:rFonts w:ascii="Times New Roman"/>
                            <w:sz w:val="22"/>
                          </w:rPr>
                        </w:pPr>
                      </w:p>
                    </w:tc>
                    <w:tc>
                      <w:tcPr>
                        <w:tcW w:w="1408" w:type="dxa"/>
                      </w:tcPr>
                      <w:p>
                        <w:pPr>
                          <w:pStyle w:val="TableParagraph"/>
                          <w:spacing w:before="27"/>
                          <w:ind w:left="127" w:right="118"/>
                          <w:rPr>
                            <w:rFonts w:ascii="Times New Roman"/>
                            <w:sz w:val="21"/>
                          </w:rPr>
                        </w:pPr>
                        <w:r>
                          <w:rPr>
                            <w:rFonts w:ascii="Times New Roman"/>
                            <w:sz w:val="21"/>
                          </w:rPr>
                          <w:t>1051.2</w:t>
                        </w:r>
                      </w:p>
                    </w:tc>
                    <w:tc>
                      <w:tcPr>
                        <w:tcW w:w="1226" w:type="dxa"/>
                      </w:tcPr>
                      <w:p>
                        <w:pPr>
                          <w:pStyle w:val="TableParagraph"/>
                          <w:spacing w:before="20"/>
                          <w:ind w:left="278" w:right="268"/>
                          <w:rPr>
                            <w:sz w:val="21"/>
                          </w:rPr>
                        </w:pPr>
                        <w:r>
                          <w:rPr>
                            <w:sz w:val="21"/>
                          </w:rPr>
                          <w:t>罐装</w:t>
                        </w:r>
                      </w:p>
                    </w:tc>
                    <w:tc>
                      <w:tcPr>
                        <w:tcW w:w="1224" w:type="dxa"/>
                      </w:tcPr>
                      <w:p>
                        <w:pPr>
                          <w:pStyle w:val="TableParagraph"/>
                          <w:spacing w:before="27"/>
                          <w:ind w:left="11" w:right="3"/>
                          <w:rPr>
                            <w:rFonts w:ascii="Times New Roman"/>
                            <w:sz w:val="21"/>
                          </w:rPr>
                        </w:pPr>
                        <w:r>
                          <w:rPr>
                            <w:rFonts w:ascii="Times New Roman"/>
                            <w:sz w:val="21"/>
                          </w:rPr>
                          <w:t>19.7</w:t>
                        </w:r>
                      </w:p>
                    </w:tc>
                    <w:tc>
                      <w:tcPr>
                        <w:tcW w:w="1066" w:type="dxa"/>
                      </w:tcPr>
                      <w:p>
                        <w:pPr>
                          <w:pStyle w:val="TableParagraph"/>
                          <w:spacing w:before="27"/>
                          <w:ind w:left="97" w:right="85"/>
                          <w:rPr>
                            <w:rFonts w:ascii="Times New Roman"/>
                            <w:sz w:val="21"/>
                          </w:rPr>
                        </w:pPr>
                        <w:r>
                          <w:rPr>
                            <w:rFonts w:ascii="Times New Roman"/>
                            <w:sz w:val="21"/>
                          </w:rPr>
                          <w:t>40</w:t>
                        </w:r>
                      </w:p>
                    </w:tc>
                  </w:tr>
                  <w:tr>
                    <w:trPr>
                      <w:trHeight w:val="314" w:hRule="atLeast"/>
                    </w:trPr>
                    <w:tc>
                      <w:tcPr>
                        <w:tcW w:w="540" w:type="dxa"/>
                        <w:vMerge/>
                        <w:tcBorders>
                          <w:top w:val="nil"/>
                        </w:tcBorders>
                      </w:tcPr>
                      <w:p>
                        <w:pPr>
                          <w:rPr>
                            <w:sz w:val="2"/>
                            <w:szCs w:val="2"/>
                          </w:rPr>
                        </w:pPr>
                      </w:p>
                    </w:tc>
                    <w:tc>
                      <w:tcPr>
                        <w:tcW w:w="1440" w:type="dxa"/>
                      </w:tcPr>
                      <w:p>
                        <w:pPr>
                          <w:pStyle w:val="TableParagraph"/>
                          <w:spacing w:before="22"/>
                          <w:ind w:left="67" w:right="60"/>
                          <w:rPr>
                            <w:sz w:val="21"/>
                          </w:rPr>
                        </w:pPr>
                        <w:r>
                          <w:rPr>
                            <w:sz w:val="21"/>
                          </w:rPr>
                          <w:t>氢氧化钠</w:t>
                        </w:r>
                      </w:p>
                    </w:tc>
                    <w:tc>
                      <w:tcPr>
                        <w:tcW w:w="1754" w:type="dxa"/>
                      </w:tcPr>
                      <w:p>
                        <w:pPr>
                          <w:pStyle w:val="TableParagraph"/>
                          <w:jc w:val="left"/>
                          <w:rPr>
                            <w:rFonts w:ascii="Times New Roman"/>
                            <w:sz w:val="22"/>
                          </w:rPr>
                        </w:pPr>
                      </w:p>
                    </w:tc>
                    <w:tc>
                      <w:tcPr>
                        <w:tcW w:w="1408" w:type="dxa"/>
                      </w:tcPr>
                      <w:p>
                        <w:pPr>
                          <w:pStyle w:val="TableParagraph"/>
                          <w:spacing w:before="29"/>
                          <w:ind w:left="127" w:right="118"/>
                          <w:rPr>
                            <w:rFonts w:ascii="Times New Roman"/>
                            <w:sz w:val="21"/>
                          </w:rPr>
                        </w:pPr>
                        <w:r>
                          <w:rPr>
                            <w:rFonts w:ascii="Times New Roman"/>
                            <w:sz w:val="21"/>
                          </w:rPr>
                          <w:t>103.7</w:t>
                        </w:r>
                      </w:p>
                    </w:tc>
                    <w:tc>
                      <w:tcPr>
                        <w:tcW w:w="1226" w:type="dxa"/>
                      </w:tcPr>
                      <w:p>
                        <w:pPr>
                          <w:pStyle w:val="TableParagraph"/>
                          <w:spacing w:before="22"/>
                          <w:ind w:left="278" w:right="268"/>
                          <w:rPr>
                            <w:sz w:val="21"/>
                          </w:rPr>
                        </w:pPr>
                        <w:r>
                          <w:rPr>
                            <w:sz w:val="21"/>
                          </w:rPr>
                          <w:t>袋装</w:t>
                        </w:r>
                      </w:p>
                    </w:tc>
                    <w:tc>
                      <w:tcPr>
                        <w:tcW w:w="1224" w:type="dxa"/>
                      </w:tcPr>
                      <w:p>
                        <w:pPr>
                          <w:pStyle w:val="TableParagraph"/>
                          <w:spacing w:before="29"/>
                          <w:ind w:left="8"/>
                          <w:rPr>
                            <w:rFonts w:ascii="Times New Roman"/>
                            <w:sz w:val="21"/>
                          </w:rPr>
                        </w:pPr>
                        <w:r>
                          <w:rPr>
                            <w:rFonts w:ascii="Times New Roman"/>
                            <w:w w:val="100"/>
                            <w:sz w:val="21"/>
                          </w:rPr>
                          <w:t>2</w:t>
                        </w:r>
                      </w:p>
                    </w:tc>
                    <w:tc>
                      <w:tcPr>
                        <w:tcW w:w="1066" w:type="dxa"/>
                      </w:tcPr>
                      <w:p>
                        <w:pPr>
                          <w:pStyle w:val="TableParagraph"/>
                          <w:spacing w:before="29"/>
                          <w:ind w:left="12"/>
                          <w:rPr>
                            <w:rFonts w:ascii="Times New Roman"/>
                            <w:sz w:val="21"/>
                          </w:rPr>
                        </w:pPr>
                        <w:r>
                          <w:rPr>
                            <w:rFonts w:ascii="Times New Roman"/>
                            <w:w w:val="100"/>
                            <w:sz w:val="21"/>
                          </w:rPr>
                          <w:t>2</w:t>
                        </w:r>
                      </w:p>
                    </w:tc>
                  </w:tr>
                  <w:tr>
                    <w:trPr>
                      <w:trHeight w:val="273" w:hRule="atLeast"/>
                    </w:trPr>
                    <w:tc>
                      <w:tcPr>
                        <w:tcW w:w="540" w:type="dxa"/>
                      </w:tcPr>
                      <w:p>
                        <w:pPr>
                          <w:pStyle w:val="TableParagraph"/>
                          <w:spacing w:line="252" w:lineRule="exact" w:before="1"/>
                          <w:ind w:left="38" w:right="31"/>
                          <w:rPr>
                            <w:sz w:val="21"/>
                          </w:rPr>
                        </w:pPr>
                        <w:r>
                          <w:rPr>
                            <w:sz w:val="21"/>
                          </w:rPr>
                          <w:t>产品</w:t>
                        </w:r>
                      </w:p>
                    </w:tc>
                    <w:tc>
                      <w:tcPr>
                        <w:tcW w:w="1440" w:type="dxa"/>
                      </w:tcPr>
                      <w:p>
                        <w:pPr>
                          <w:pStyle w:val="TableParagraph"/>
                          <w:spacing w:line="252" w:lineRule="exact" w:before="1"/>
                          <w:ind w:left="69" w:right="60"/>
                          <w:rPr>
                            <w:sz w:val="21"/>
                          </w:rPr>
                        </w:pPr>
                        <w:r>
                          <w:rPr>
                            <w:sz w:val="21"/>
                          </w:rPr>
                          <w:t>乙腈</w:t>
                        </w:r>
                      </w:p>
                    </w:tc>
                    <w:tc>
                      <w:tcPr>
                        <w:tcW w:w="1754" w:type="dxa"/>
                      </w:tcPr>
                      <w:p>
                        <w:pPr>
                          <w:pStyle w:val="TableParagraph"/>
                          <w:jc w:val="left"/>
                          <w:rPr>
                            <w:rFonts w:ascii="Times New Roman"/>
                            <w:sz w:val="20"/>
                          </w:rPr>
                        </w:pPr>
                      </w:p>
                    </w:tc>
                    <w:tc>
                      <w:tcPr>
                        <w:tcW w:w="1408" w:type="dxa"/>
                      </w:tcPr>
                      <w:p>
                        <w:pPr>
                          <w:pStyle w:val="TableParagraph"/>
                          <w:spacing w:before="8"/>
                          <w:ind w:left="127" w:right="118"/>
                          <w:rPr>
                            <w:rFonts w:ascii="Times New Roman"/>
                            <w:sz w:val="21"/>
                          </w:rPr>
                        </w:pPr>
                        <w:r>
                          <w:rPr>
                            <w:rFonts w:ascii="Times New Roman"/>
                            <w:sz w:val="21"/>
                          </w:rPr>
                          <w:t>2000</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before="8"/>
                          <w:ind w:left="11" w:right="3"/>
                          <w:rPr>
                            <w:rFonts w:ascii="Times New Roman"/>
                            <w:sz w:val="21"/>
                          </w:rPr>
                        </w:pPr>
                        <w:r>
                          <w:rPr>
                            <w:rFonts w:ascii="Times New Roman"/>
                            <w:sz w:val="21"/>
                          </w:rPr>
                          <w:t>50</w:t>
                        </w:r>
                      </w:p>
                    </w:tc>
                    <w:tc>
                      <w:tcPr>
                        <w:tcW w:w="1066" w:type="dxa"/>
                      </w:tcPr>
                      <w:p>
                        <w:pPr>
                          <w:pStyle w:val="TableParagraph"/>
                          <w:spacing w:before="8"/>
                          <w:ind w:left="97" w:right="85"/>
                          <w:rPr>
                            <w:rFonts w:ascii="Times New Roman"/>
                            <w:sz w:val="21"/>
                          </w:rPr>
                        </w:pPr>
                        <w:r>
                          <w:rPr>
                            <w:rFonts w:ascii="Times New Roman"/>
                            <w:sz w:val="21"/>
                          </w:rPr>
                          <w:t>52.5</w:t>
                        </w:r>
                      </w:p>
                    </w:tc>
                  </w:tr>
                  <w:tr>
                    <w:trPr>
                      <w:trHeight w:val="544" w:hRule="atLeast"/>
                    </w:trPr>
                    <w:tc>
                      <w:tcPr>
                        <w:tcW w:w="540" w:type="dxa"/>
                      </w:tcPr>
                      <w:p>
                        <w:pPr>
                          <w:pStyle w:val="TableParagraph"/>
                          <w:spacing w:before="1"/>
                          <w:ind w:left="57"/>
                          <w:jc w:val="left"/>
                          <w:rPr>
                            <w:sz w:val="21"/>
                          </w:rPr>
                        </w:pPr>
                        <w:r>
                          <w:rPr>
                            <w:sz w:val="21"/>
                          </w:rPr>
                          <w:t>中间</w:t>
                        </w:r>
                      </w:p>
                      <w:p>
                        <w:pPr>
                          <w:pStyle w:val="TableParagraph"/>
                          <w:spacing w:line="252" w:lineRule="exact" w:before="2"/>
                          <w:ind w:left="57"/>
                          <w:jc w:val="left"/>
                          <w:rPr>
                            <w:sz w:val="21"/>
                          </w:rPr>
                        </w:pPr>
                        <w:r>
                          <w:rPr>
                            <w:sz w:val="21"/>
                          </w:rPr>
                          <w:t>产品</w:t>
                        </w:r>
                      </w:p>
                    </w:tc>
                    <w:tc>
                      <w:tcPr>
                        <w:tcW w:w="1440" w:type="dxa"/>
                      </w:tcPr>
                      <w:p>
                        <w:pPr>
                          <w:pStyle w:val="TableParagraph"/>
                          <w:spacing w:before="137"/>
                          <w:ind w:left="69" w:right="60"/>
                          <w:rPr>
                            <w:sz w:val="21"/>
                          </w:rPr>
                        </w:pPr>
                        <w:r>
                          <w:rPr>
                            <w:sz w:val="21"/>
                          </w:rPr>
                          <w:t>乙酰胺</w:t>
                        </w:r>
                      </w:p>
                    </w:tc>
                    <w:tc>
                      <w:tcPr>
                        <w:tcW w:w="1754" w:type="dxa"/>
                      </w:tcPr>
                      <w:p>
                        <w:pPr>
                          <w:pStyle w:val="TableParagraph"/>
                          <w:jc w:val="left"/>
                          <w:rPr>
                            <w:rFonts w:ascii="Times New Roman"/>
                            <w:sz w:val="22"/>
                          </w:rPr>
                        </w:pPr>
                      </w:p>
                    </w:tc>
                    <w:tc>
                      <w:tcPr>
                        <w:tcW w:w="1408" w:type="dxa"/>
                      </w:tcPr>
                      <w:p>
                        <w:pPr>
                          <w:pStyle w:val="TableParagraph"/>
                          <w:spacing w:before="144"/>
                          <w:ind w:left="127" w:right="118"/>
                          <w:rPr>
                            <w:rFonts w:ascii="Times New Roman"/>
                            <w:sz w:val="21"/>
                          </w:rPr>
                        </w:pPr>
                        <w:r>
                          <w:rPr>
                            <w:rFonts w:ascii="Times New Roman"/>
                            <w:sz w:val="21"/>
                          </w:rPr>
                          <w:t>153.4</w:t>
                        </w:r>
                      </w:p>
                    </w:tc>
                    <w:tc>
                      <w:tcPr>
                        <w:tcW w:w="1226" w:type="dxa"/>
                      </w:tcPr>
                      <w:p>
                        <w:pPr>
                          <w:pStyle w:val="TableParagraph"/>
                          <w:spacing w:before="137"/>
                          <w:ind w:left="278" w:right="268"/>
                          <w:rPr>
                            <w:sz w:val="21"/>
                          </w:rPr>
                        </w:pPr>
                        <w:r>
                          <w:rPr>
                            <w:sz w:val="21"/>
                          </w:rPr>
                          <w:t>不存储</w:t>
                        </w:r>
                      </w:p>
                    </w:tc>
                    <w:tc>
                      <w:tcPr>
                        <w:tcW w:w="1224" w:type="dxa"/>
                      </w:tcPr>
                      <w:p>
                        <w:pPr>
                          <w:pStyle w:val="TableParagraph"/>
                          <w:spacing w:before="144"/>
                          <w:ind w:left="16" w:right="2"/>
                          <w:rPr>
                            <w:rFonts w:ascii="Times New Roman"/>
                            <w:sz w:val="21"/>
                          </w:rPr>
                        </w:pPr>
                        <w:r>
                          <w:rPr>
                            <w:rFonts w:ascii="Times New Roman"/>
                            <w:sz w:val="21"/>
                          </w:rPr>
                          <w:t>--</w:t>
                        </w:r>
                      </w:p>
                    </w:tc>
                    <w:tc>
                      <w:tcPr>
                        <w:tcW w:w="1066" w:type="dxa"/>
                      </w:tcPr>
                      <w:p>
                        <w:pPr>
                          <w:pStyle w:val="TableParagraph"/>
                          <w:spacing w:before="144"/>
                          <w:ind w:left="99" w:right="85"/>
                          <w:rPr>
                            <w:rFonts w:ascii="Times New Roman"/>
                            <w:sz w:val="21"/>
                          </w:rPr>
                        </w:pPr>
                        <w:r>
                          <w:rPr>
                            <w:rFonts w:ascii="Times New Roman"/>
                            <w:sz w:val="21"/>
                          </w:rPr>
                          <w:t>--</w:t>
                        </w:r>
                      </w:p>
                    </w:tc>
                  </w:tr>
                  <w:tr>
                    <w:trPr>
                      <w:trHeight w:val="273" w:hRule="atLeast"/>
                    </w:trPr>
                    <w:tc>
                      <w:tcPr>
                        <w:tcW w:w="540" w:type="dxa"/>
                        <w:vMerge w:val="restart"/>
                      </w:tcPr>
                      <w:p>
                        <w:pPr>
                          <w:pStyle w:val="TableParagraph"/>
                          <w:spacing w:before="1"/>
                          <w:ind w:left="57"/>
                          <w:jc w:val="left"/>
                          <w:rPr>
                            <w:sz w:val="21"/>
                          </w:rPr>
                        </w:pPr>
                        <w:r>
                          <w:rPr>
                            <w:sz w:val="21"/>
                          </w:rPr>
                          <w:t>副产</w:t>
                        </w:r>
                      </w:p>
                      <w:p>
                        <w:pPr>
                          <w:pStyle w:val="TableParagraph"/>
                          <w:spacing w:line="262" w:lineRule="exact" w:before="2"/>
                          <w:ind w:left="163"/>
                          <w:jc w:val="left"/>
                          <w:rPr>
                            <w:sz w:val="21"/>
                          </w:rPr>
                        </w:pPr>
                        <w:r>
                          <w:rPr>
                            <w:w w:val="100"/>
                            <w:sz w:val="21"/>
                          </w:rPr>
                          <w:t>品</w:t>
                        </w:r>
                      </w:p>
                    </w:tc>
                    <w:tc>
                      <w:tcPr>
                        <w:tcW w:w="1440" w:type="dxa"/>
                      </w:tcPr>
                      <w:p>
                        <w:pPr>
                          <w:pStyle w:val="TableParagraph"/>
                          <w:spacing w:line="252" w:lineRule="exact" w:before="1"/>
                          <w:ind w:left="67" w:right="60"/>
                          <w:rPr>
                            <w:sz w:val="21"/>
                          </w:rPr>
                        </w:pPr>
                        <w:r>
                          <w:rPr>
                            <w:sz w:val="21"/>
                          </w:rPr>
                          <w:t>氨水（</w:t>
                        </w:r>
                        <w:r>
                          <w:rPr>
                            <w:rFonts w:ascii="Times New Roman" w:eastAsia="Times New Roman"/>
                            <w:sz w:val="21"/>
                          </w:rPr>
                          <w:t>10%</w:t>
                        </w:r>
                        <w:r>
                          <w:rPr>
                            <w:sz w:val="21"/>
                          </w:rPr>
                          <w:t>）</w:t>
                        </w:r>
                      </w:p>
                    </w:tc>
                    <w:tc>
                      <w:tcPr>
                        <w:tcW w:w="1754" w:type="dxa"/>
                      </w:tcPr>
                      <w:p>
                        <w:pPr>
                          <w:pStyle w:val="TableParagraph"/>
                          <w:jc w:val="left"/>
                          <w:rPr>
                            <w:rFonts w:ascii="Times New Roman"/>
                            <w:sz w:val="20"/>
                          </w:rPr>
                        </w:pPr>
                      </w:p>
                    </w:tc>
                    <w:tc>
                      <w:tcPr>
                        <w:tcW w:w="1408" w:type="dxa"/>
                      </w:tcPr>
                      <w:p>
                        <w:pPr>
                          <w:pStyle w:val="TableParagraph"/>
                          <w:spacing w:before="8"/>
                          <w:ind w:left="127" w:right="118"/>
                          <w:rPr>
                            <w:rFonts w:ascii="Times New Roman"/>
                            <w:sz w:val="21"/>
                          </w:rPr>
                        </w:pPr>
                        <w:r>
                          <w:rPr>
                            <w:rFonts w:ascii="Times New Roman"/>
                            <w:sz w:val="21"/>
                          </w:rPr>
                          <w:t>2195.6</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before="8"/>
                          <w:ind w:left="11" w:right="3"/>
                          <w:rPr>
                            <w:rFonts w:ascii="Times New Roman"/>
                            <w:sz w:val="21"/>
                          </w:rPr>
                        </w:pPr>
                        <w:r>
                          <w:rPr>
                            <w:rFonts w:ascii="Times New Roman"/>
                            <w:sz w:val="21"/>
                          </w:rPr>
                          <w:t>25</w:t>
                        </w:r>
                      </w:p>
                    </w:tc>
                    <w:tc>
                      <w:tcPr>
                        <w:tcW w:w="1066" w:type="dxa"/>
                      </w:tcPr>
                      <w:p>
                        <w:pPr>
                          <w:pStyle w:val="TableParagraph"/>
                          <w:spacing w:before="8"/>
                          <w:ind w:left="97" w:right="85"/>
                          <w:rPr>
                            <w:rFonts w:ascii="Times New Roman"/>
                            <w:sz w:val="21"/>
                          </w:rPr>
                        </w:pPr>
                        <w:r>
                          <w:rPr>
                            <w:rFonts w:ascii="Times New Roman"/>
                            <w:sz w:val="21"/>
                          </w:rPr>
                          <w:t>25</w:t>
                        </w:r>
                      </w:p>
                    </w:tc>
                  </w:tr>
                  <w:tr>
                    <w:trPr>
                      <w:trHeight w:val="270" w:hRule="atLeast"/>
                    </w:trPr>
                    <w:tc>
                      <w:tcPr>
                        <w:tcW w:w="540" w:type="dxa"/>
                        <w:vMerge/>
                        <w:tcBorders>
                          <w:top w:val="nil"/>
                        </w:tcBorders>
                      </w:tcPr>
                      <w:p>
                        <w:pPr>
                          <w:rPr>
                            <w:sz w:val="2"/>
                            <w:szCs w:val="2"/>
                          </w:rPr>
                        </w:pPr>
                      </w:p>
                    </w:tc>
                    <w:tc>
                      <w:tcPr>
                        <w:tcW w:w="1440" w:type="dxa"/>
                      </w:tcPr>
                      <w:p>
                        <w:pPr>
                          <w:pStyle w:val="TableParagraph"/>
                          <w:spacing w:line="250" w:lineRule="exact" w:before="1"/>
                          <w:ind w:left="69" w:right="60"/>
                          <w:rPr>
                            <w:sz w:val="21"/>
                          </w:rPr>
                        </w:pPr>
                        <w:r>
                          <w:rPr>
                            <w:sz w:val="21"/>
                          </w:rPr>
                          <w:t>醋酸钠</w:t>
                        </w:r>
                      </w:p>
                    </w:tc>
                    <w:tc>
                      <w:tcPr>
                        <w:tcW w:w="1754" w:type="dxa"/>
                      </w:tcPr>
                      <w:p>
                        <w:pPr>
                          <w:pStyle w:val="TableParagraph"/>
                          <w:jc w:val="left"/>
                          <w:rPr>
                            <w:rFonts w:ascii="Times New Roman"/>
                            <w:sz w:val="20"/>
                          </w:rPr>
                        </w:pPr>
                      </w:p>
                    </w:tc>
                    <w:tc>
                      <w:tcPr>
                        <w:tcW w:w="1408" w:type="dxa"/>
                      </w:tcPr>
                      <w:p>
                        <w:pPr>
                          <w:pStyle w:val="TableParagraph"/>
                          <w:spacing w:before="7"/>
                          <w:ind w:left="127" w:right="118"/>
                          <w:rPr>
                            <w:rFonts w:ascii="Times New Roman"/>
                            <w:sz w:val="21"/>
                          </w:rPr>
                        </w:pPr>
                        <w:r>
                          <w:rPr>
                            <w:rFonts w:ascii="Times New Roman"/>
                            <w:sz w:val="21"/>
                          </w:rPr>
                          <w:t>213.1</w:t>
                        </w:r>
                      </w:p>
                    </w:tc>
                    <w:tc>
                      <w:tcPr>
                        <w:tcW w:w="1226" w:type="dxa"/>
                      </w:tcPr>
                      <w:p>
                        <w:pPr>
                          <w:pStyle w:val="TableParagraph"/>
                          <w:spacing w:line="250" w:lineRule="exact" w:before="1"/>
                          <w:ind w:left="278" w:right="268"/>
                          <w:rPr>
                            <w:sz w:val="21"/>
                          </w:rPr>
                        </w:pPr>
                        <w:r>
                          <w:rPr>
                            <w:sz w:val="21"/>
                          </w:rPr>
                          <w:t>袋装</w:t>
                        </w:r>
                      </w:p>
                    </w:tc>
                    <w:tc>
                      <w:tcPr>
                        <w:tcW w:w="1224" w:type="dxa"/>
                      </w:tcPr>
                      <w:p>
                        <w:pPr>
                          <w:pStyle w:val="TableParagraph"/>
                          <w:spacing w:before="7"/>
                          <w:ind w:left="8"/>
                          <w:rPr>
                            <w:rFonts w:ascii="Times New Roman"/>
                            <w:sz w:val="21"/>
                          </w:rPr>
                        </w:pPr>
                        <w:r>
                          <w:rPr>
                            <w:rFonts w:ascii="Times New Roman"/>
                            <w:w w:val="100"/>
                            <w:sz w:val="21"/>
                          </w:rPr>
                          <w:t>5</w:t>
                        </w:r>
                      </w:p>
                    </w:tc>
                    <w:tc>
                      <w:tcPr>
                        <w:tcW w:w="1066" w:type="dxa"/>
                      </w:tcPr>
                      <w:p>
                        <w:pPr>
                          <w:pStyle w:val="TableParagraph"/>
                          <w:spacing w:before="7"/>
                          <w:ind w:left="12"/>
                          <w:rPr>
                            <w:rFonts w:ascii="Times New Roman"/>
                            <w:sz w:val="21"/>
                          </w:rPr>
                        </w:pPr>
                        <w:r>
                          <w:rPr>
                            <w:rFonts w:ascii="Times New Roman"/>
                            <w:w w:val="100"/>
                            <w:sz w:val="21"/>
                          </w:rPr>
                          <w:t>5</w:t>
                        </w:r>
                      </w:p>
                    </w:tc>
                  </w:tr>
                  <w:tr>
                    <w:trPr>
                      <w:trHeight w:val="273" w:hRule="atLeast"/>
                    </w:trPr>
                    <w:tc>
                      <w:tcPr>
                        <w:tcW w:w="540" w:type="dxa"/>
                      </w:tcPr>
                      <w:p>
                        <w:pPr>
                          <w:pStyle w:val="TableParagraph"/>
                          <w:spacing w:line="252" w:lineRule="exact" w:before="1"/>
                          <w:ind w:left="7"/>
                          <w:rPr>
                            <w:sz w:val="21"/>
                          </w:rPr>
                        </w:pPr>
                        <w:r>
                          <w:rPr>
                            <w:w w:val="100"/>
                            <w:sz w:val="21"/>
                          </w:rPr>
                          <w:t>二</w:t>
                        </w:r>
                      </w:p>
                    </w:tc>
                    <w:tc>
                      <w:tcPr>
                        <w:tcW w:w="8118" w:type="dxa"/>
                        <w:gridSpan w:val="6"/>
                      </w:tcPr>
                      <w:p>
                        <w:pPr>
                          <w:pStyle w:val="TableParagraph"/>
                          <w:spacing w:line="252" w:lineRule="exact" w:before="1"/>
                          <w:ind w:left="2542" w:right="2532"/>
                          <w:rPr>
                            <w:sz w:val="21"/>
                          </w:rPr>
                        </w:pPr>
                        <w:r>
                          <w:rPr>
                            <w:sz w:val="21"/>
                          </w:rPr>
                          <w:t>年产 </w:t>
                        </w:r>
                        <w:r>
                          <w:rPr>
                            <w:rFonts w:ascii="Times New Roman" w:eastAsia="Times New Roman"/>
                            <w:sz w:val="21"/>
                          </w:rPr>
                          <w:t>20000 </w:t>
                        </w:r>
                        <w:r>
                          <w:rPr>
                            <w:sz w:val="21"/>
                          </w:rPr>
                          <w:t>吨多元醇混合酯项目</w:t>
                        </w:r>
                      </w:p>
                    </w:tc>
                  </w:tr>
                  <w:tr>
                    <w:trPr>
                      <w:trHeight w:val="273" w:hRule="atLeast"/>
                    </w:trPr>
                    <w:tc>
                      <w:tcPr>
                        <w:tcW w:w="540" w:type="dxa"/>
                        <w:vMerge w:val="restart"/>
                      </w:tcPr>
                      <w:p>
                        <w:pPr>
                          <w:pStyle w:val="TableParagraph"/>
                          <w:jc w:val="left"/>
                          <w:rPr>
                            <w:sz w:val="20"/>
                          </w:rPr>
                        </w:pPr>
                      </w:p>
                      <w:p>
                        <w:pPr>
                          <w:pStyle w:val="TableParagraph"/>
                          <w:spacing w:before="9"/>
                          <w:jc w:val="left"/>
                          <w:rPr>
                            <w:sz w:val="23"/>
                          </w:rPr>
                        </w:pPr>
                      </w:p>
                      <w:p>
                        <w:pPr>
                          <w:pStyle w:val="TableParagraph"/>
                          <w:ind w:left="57"/>
                          <w:jc w:val="left"/>
                          <w:rPr>
                            <w:sz w:val="21"/>
                          </w:rPr>
                        </w:pPr>
                        <w:r>
                          <w:rPr>
                            <w:sz w:val="21"/>
                          </w:rPr>
                          <w:t>原料</w:t>
                        </w:r>
                      </w:p>
                    </w:tc>
                    <w:tc>
                      <w:tcPr>
                        <w:tcW w:w="1440" w:type="dxa"/>
                      </w:tcPr>
                      <w:p>
                        <w:pPr>
                          <w:pStyle w:val="TableParagraph"/>
                          <w:spacing w:line="252" w:lineRule="exact" w:before="1"/>
                          <w:ind w:left="69" w:right="60"/>
                          <w:rPr>
                            <w:sz w:val="21"/>
                          </w:rPr>
                        </w:pPr>
                        <w:r>
                          <w:rPr>
                            <w:sz w:val="21"/>
                          </w:rPr>
                          <w:t>乙二醇</w:t>
                        </w:r>
                      </w:p>
                    </w:tc>
                    <w:tc>
                      <w:tcPr>
                        <w:tcW w:w="1754" w:type="dxa"/>
                      </w:tcPr>
                      <w:p>
                        <w:pPr>
                          <w:pStyle w:val="TableParagraph"/>
                          <w:jc w:val="left"/>
                          <w:rPr>
                            <w:rFonts w:ascii="Times New Roman"/>
                            <w:sz w:val="20"/>
                          </w:rPr>
                        </w:pPr>
                      </w:p>
                    </w:tc>
                    <w:tc>
                      <w:tcPr>
                        <w:tcW w:w="1408" w:type="dxa"/>
                      </w:tcPr>
                      <w:p>
                        <w:pPr>
                          <w:pStyle w:val="TableParagraph"/>
                          <w:spacing w:before="7"/>
                          <w:ind w:left="127" w:right="118"/>
                          <w:rPr>
                            <w:rFonts w:ascii="Times New Roman"/>
                            <w:sz w:val="21"/>
                          </w:rPr>
                        </w:pPr>
                        <w:r>
                          <w:rPr>
                            <w:rFonts w:ascii="Times New Roman"/>
                            <w:sz w:val="21"/>
                          </w:rPr>
                          <w:t>4290.1</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before="7"/>
                          <w:ind w:left="11" w:right="3"/>
                          <w:rPr>
                            <w:rFonts w:ascii="Times New Roman"/>
                            <w:sz w:val="21"/>
                          </w:rPr>
                        </w:pPr>
                        <w:r>
                          <w:rPr>
                            <w:rFonts w:ascii="Times New Roman"/>
                            <w:sz w:val="21"/>
                          </w:rPr>
                          <w:t>235</w:t>
                        </w:r>
                      </w:p>
                    </w:tc>
                    <w:tc>
                      <w:tcPr>
                        <w:tcW w:w="1066" w:type="dxa"/>
                      </w:tcPr>
                      <w:p>
                        <w:pPr>
                          <w:pStyle w:val="TableParagraph"/>
                          <w:spacing w:before="7"/>
                          <w:ind w:left="97" w:right="85"/>
                          <w:rPr>
                            <w:rFonts w:ascii="Times New Roman"/>
                            <w:sz w:val="21"/>
                          </w:rPr>
                        </w:pPr>
                        <w:r>
                          <w:rPr>
                            <w:rFonts w:ascii="Times New Roman"/>
                            <w:sz w:val="21"/>
                          </w:rPr>
                          <w:t>252</w:t>
                        </w:r>
                      </w:p>
                    </w:tc>
                  </w:tr>
                  <w:tr>
                    <w:trPr>
                      <w:trHeight w:val="270" w:hRule="atLeast"/>
                    </w:trPr>
                    <w:tc>
                      <w:tcPr>
                        <w:tcW w:w="540" w:type="dxa"/>
                        <w:vMerge/>
                        <w:tcBorders>
                          <w:top w:val="nil"/>
                        </w:tcBorders>
                      </w:tcPr>
                      <w:p>
                        <w:pPr>
                          <w:rPr>
                            <w:sz w:val="2"/>
                            <w:szCs w:val="2"/>
                          </w:rPr>
                        </w:pPr>
                      </w:p>
                    </w:tc>
                    <w:tc>
                      <w:tcPr>
                        <w:tcW w:w="1440" w:type="dxa"/>
                      </w:tcPr>
                      <w:p>
                        <w:pPr>
                          <w:pStyle w:val="TableParagraph"/>
                          <w:spacing w:line="250" w:lineRule="exact" w:before="1"/>
                          <w:ind w:left="69" w:right="60"/>
                          <w:rPr>
                            <w:sz w:val="21"/>
                          </w:rPr>
                        </w:pPr>
                        <w:r>
                          <w:rPr>
                            <w:sz w:val="21"/>
                          </w:rPr>
                          <w:t>丙二醇</w:t>
                        </w:r>
                      </w:p>
                    </w:tc>
                    <w:tc>
                      <w:tcPr>
                        <w:tcW w:w="1754" w:type="dxa"/>
                      </w:tcPr>
                      <w:p>
                        <w:pPr>
                          <w:pStyle w:val="TableParagraph"/>
                          <w:jc w:val="left"/>
                          <w:rPr>
                            <w:rFonts w:ascii="Times New Roman"/>
                            <w:sz w:val="20"/>
                          </w:rPr>
                        </w:pPr>
                      </w:p>
                    </w:tc>
                    <w:tc>
                      <w:tcPr>
                        <w:tcW w:w="1408" w:type="dxa"/>
                      </w:tcPr>
                      <w:p>
                        <w:pPr>
                          <w:pStyle w:val="TableParagraph"/>
                          <w:spacing w:before="7"/>
                          <w:ind w:left="127" w:right="121"/>
                          <w:rPr>
                            <w:rFonts w:ascii="Times New Roman"/>
                            <w:sz w:val="21"/>
                          </w:rPr>
                        </w:pPr>
                        <w:r>
                          <w:rPr>
                            <w:rFonts w:ascii="Times New Roman"/>
                            <w:sz w:val="21"/>
                          </w:rPr>
                          <w:t>4798.98</w:t>
                        </w:r>
                      </w:p>
                    </w:tc>
                    <w:tc>
                      <w:tcPr>
                        <w:tcW w:w="1226" w:type="dxa"/>
                      </w:tcPr>
                      <w:p>
                        <w:pPr>
                          <w:pStyle w:val="TableParagraph"/>
                          <w:spacing w:line="250" w:lineRule="exact" w:before="1"/>
                          <w:ind w:left="278" w:right="268"/>
                          <w:rPr>
                            <w:sz w:val="21"/>
                          </w:rPr>
                        </w:pPr>
                        <w:r>
                          <w:rPr>
                            <w:sz w:val="21"/>
                          </w:rPr>
                          <w:t>罐装</w:t>
                        </w:r>
                      </w:p>
                    </w:tc>
                    <w:tc>
                      <w:tcPr>
                        <w:tcW w:w="1224" w:type="dxa"/>
                      </w:tcPr>
                      <w:p>
                        <w:pPr>
                          <w:pStyle w:val="TableParagraph"/>
                          <w:spacing w:before="7"/>
                          <w:ind w:left="11" w:right="3"/>
                          <w:rPr>
                            <w:rFonts w:ascii="Times New Roman"/>
                            <w:sz w:val="21"/>
                          </w:rPr>
                        </w:pPr>
                        <w:r>
                          <w:rPr>
                            <w:rFonts w:ascii="Times New Roman"/>
                            <w:sz w:val="21"/>
                          </w:rPr>
                          <w:t>235</w:t>
                        </w:r>
                      </w:p>
                    </w:tc>
                    <w:tc>
                      <w:tcPr>
                        <w:tcW w:w="1066" w:type="dxa"/>
                      </w:tcPr>
                      <w:p>
                        <w:pPr>
                          <w:pStyle w:val="TableParagraph"/>
                          <w:spacing w:before="7"/>
                          <w:ind w:left="97" w:right="85"/>
                          <w:rPr>
                            <w:rFonts w:ascii="Times New Roman"/>
                            <w:sz w:val="21"/>
                          </w:rPr>
                        </w:pPr>
                        <w:r>
                          <w:rPr>
                            <w:rFonts w:ascii="Times New Roman"/>
                            <w:sz w:val="21"/>
                          </w:rPr>
                          <w:t>252</w:t>
                        </w:r>
                      </w:p>
                    </w:tc>
                  </w:tr>
                  <w:tr>
                    <w:trPr>
                      <w:trHeight w:val="273" w:hRule="atLeast"/>
                    </w:trPr>
                    <w:tc>
                      <w:tcPr>
                        <w:tcW w:w="540" w:type="dxa"/>
                        <w:vMerge/>
                        <w:tcBorders>
                          <w:top w:val="nil"/>
                        </w:tcBorders>
                      </w:tcPr>
                      <w:p>
                        <w:pPr>
                          <w:rPr>
                            <w:sz w:val="2"/>
                            <w:szCs w:val="2"/>
                          </w:rPr>
                        </w:pPr>
                      </w:p>
                    </w:tc>
                    <w:tc>
                      <w:tcPr>
                        <w:tcW w:w="1440" w:type="dxa"/>
                      </w:tcPr>
                      <w:p>
                        <w:pPr>
                          <w:pStyle w:val="TableParagraph"/>
                          <w:spacing w:line="252" w:lineRule="exact" w:before="1"/>
                          <w:ind w:left="69" w:right="60"/>
                          <w:rPr>
                            <w:sz w:val="21"/>
                          </w:rPr>
                        </w:pPr>
                        <w:r>
                          <w:rPr>
                            <w:sz w:val="21"/>
                          </w:rPr>
                          <w:t>醋酸</w:t>
                        </w:r>
                      </w:p>
                    </w:tc>
                    <w:tc>
                      <w:tcPr>
                        <w:tcW w:w="1754" w:type="dxa"/>
                      </w:tcPr>
                      <w:p>
                        <w:pPr>
                          <w:pStyle w:val="TableParagraph"/>
                          <w:jc w:val="left"/>
                          <w:rPr>
                            <w:rFonts w:ascii="Times New Roman"/>
                            <w:sz w:val="20"/>
                          </w:rPr>
                        </w:pPr>
                      </w:p>
                    </w:tc>
                    <w:tc>
                      <w:tcPr>
                        <w:tcW w:w="1408" w:type="dxa"/>
                      </w:tcPr>
                      <w:p>
                        <w:pPr>
                          <w:pStyle w:val="TableParagraph"/>
                          <w:spacing w:before="7"/>
                          <w:ind w:left="127" w:right="121"/>
                          <w:rPr>
                            <w:rFonts w:ascii="Times New Roman"/>
                            <w:sz w:val="21"/>
                          </w:rPr>
                        </w:pPr>
                        <w:r>
                          <w:rPr>
                            <w:rFonts w:ascii="Times New Roman"/>
                            <w:sz w:val="21"/>
                          </w:rPr>
                          <w:t>15897.75</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before="7"/>
                          <w:ind w:left="11" w:right="3"/>
                          <w:rPr>
                            <w:rFonts w:ascii="Times New Roman"/>
                            <w:sz w:val="21"/>
                          </w:rPr>
                        </w:pPr>
                        <w:r>
                          <w:rPr>
                            <w:rFonts w:ascii="Times New Roman"/>
                            <w:sz w:val="21"/>
                          </w:rPr>
                          <w:t>480</w:t>
                        </w:r>
                      </w:p>
                    </w:tc>
                    <w:tc>
                      <w:tcPr>
                        <w:tcW w:w="1066" w:type="dxa"/>
                      </w:tcPr>
                      <w:p>
                        <w:pPr>
                          <w:pStyle w:val="TableParagraph"/>
                          <w:spacing w:before="7"/>
                          <w:ind w:left="97" w:right="85"/>
                          <w:rPr>
                            <w:rFonts w:ascii="Times New Roman"/>
                            <w:sz w:val="21"/>
                          </w:rPr>
                        </w:pPr>
                        <w:r>
                          <w:rPr>
                            <w:rFonts w:ascii="Times New Roman"/>
                            <w:sz w:val="21"/>
                          </w:rPr>
                          <w:t>600</w:t>
                        </w:r>
                      </w:p>
                    </w:tc>
                  </w:tr>
                  <w:tr>
                    <w:trPr>
                      <w:trHeight w:val="270" w:hRule="atLeast"/>
                    </w:trPr>
                    <w:tc>
                      <w:tcPr>
                        <w:tcW w:w="540" w:type="dxa"/>
                        <w:vMerge/>
                        <w:tcBorders>
                          <w:top w:val="nil"/>
                        </w:tcBorders>
                      </w:tcPr>
                      <w:p>
                        <w:pPr>
                          <w:rPr>
                            <w:sz w:val="2"/>
                            <w:szCs w:val="2"/>
                          </w:rPr>
                        </w:pPr>
                      </w:p>
                    </w:tc>
                    <w:tc>
                      <w:tcPr>
                        <w:tcW w:w="1440" w:type="dxa"/>
                      </w:tcPr>
                      <w:p>
                        <w:pPr>
                          <w:pStyle w:val="TableParagraph"/>
                          <w:spacing w:line="250" w:lineRule="exact" w:before="1"/>
                          <w:ind w:left="69" w:right="60"/>
                          <w:rPr>
                            <w:sz w:val="21"/>
                          </w:rPr>
                        </w:pPr>
                        <w:r>
                          <w:rPr>
                            <w:sz w:val="21"/>
                          </w:rPr>
                          <w:t>催化剂</w:t>
                        </w:r>
                      </w:p>
                    </w:tc>
                    <w:tc>
                      <w:tcPr>
                        <w:tcW w:w="1754" w:type="dxa"/>
                      </w:tcPr>
                      <w:p>
                        <w:pPr>
                          <w:pStyle w:val="TableParagraph"/>
                          <w:jc w:val="left"/>
                          <w:rPr>
                            <w:rFonts w:ascii="Times New Roman"/>
                            <w:sz w:val="20"/>
                          </w:rPr>
                        </w:pPr>
                      </w:p>
                    </w:tc>
                    <w:tc>
                      <w:tcPr>
                        <w:tcW w:w="1408" w:type="dxa"/>
                      </w:tcPr>
                      <w:p>
                        <w:pPr>
                          <w:pStyle w:val="TableParagraph"/>
                          <w:spacing w:before="7"/>
                          <w:ind w:left="127" w:right="118"/>
                          <w:rPr>
                            <w:rFonts w:ascii="Times New Roman"/>
                            <w:sz w:val="21"/>
                          </w:rPr>
                        </w:pPr>
                        <w:r>
                          <w:rPr>
                            <w:rFonts w:ascii="Times New Roman"/>
                            <w:sz w:val="21"/>
                          </w:rPr>
                          <w:t>44.24</w:t>
                        </w:r>
                      </w:p>
                    </w:tc>
                    <w:tc>
                      <w:tcPr>
                        <w:tcW w:w="1226" w:type="dxa"/>
                      </w:tcPr>
                      <w:p>
                        <w:pPr>
                          <w:pStyle w:val="TableParagraph"/>
                          <w:spacing w:line="250" w:lineRule="exact" w:before="1"/>
                          <w:ind w:left="278" w:right="268"/>
                          <w:rPr>
                            <w:sz w:val="21"/>
                          </w:rPr>
                        </w:pPr>
                        <w:r>
                          <w:rPr>
                            <w:sz w:val="21"/>
                          </w:rPr>
                          <w:t>袋装</w:t>
                        </w:r>
                      </w:p>
                    </w:tc>
                    <w:tc>
                      <w:tcPr>
                        <w:tcW w:w="1224" w:type="dxa"/>
                      </w:tcPr>
                      <w:p>
                        <w:pPr>
                          <w:pStyle w:val="TableParagraph"/>
                          <w:spacing w:before="7"/>
                          <w:ind w:left="11" w:right="3"/>
                          <w:rPr>
                            <w:rFonts w:ascii="Times New Roman"/>
                            <w:sz w:val="21"/>
                          </w:rPr>
                        </w:pPr>
                        <w:r>
                          <w:rPr>
                            <w:rFonts w:ascii="Times New Roman"/>
                            <w:sz w:val="21"/>
                          </w:rPr>
                          <w:t>1.0</w:t>
                        </w:r>
                      </w:p>
                    </w:tc>
                    <w:tc>
                      <w:tcPr>
                        <w:tcW w:w="1066" w:type="dxa"/>
                      </w:tcPr>
                      <w:p>
                        <w:pPr>
                          <w:pStyle w:val="TableParagraph"/>
                          <w:spacing w:before="7"/>
                          <w:ind w:left="97" w:right="85"/>
                          <w:rPr>
                            <w:rFonts w:ascii="Times New Roman"/>
                            <w:sz w:val="21"/>
                          </w:rPr>
                        </w:pPr>
                        <w:r>
                          <w:rPr>
                            <w:rFonts w:ascii="Times New Roman"/>
                            <w:sz w:val="21"/>
                          </w:rPr>
                          <w:t>2.0</w:t>
                        </w:r>
                      </w:p>
                    </w:tc>
                  </w:tr>
                  <w:tr>
                    <w:trPr>
                      <w:trHeight w:val="273" w:hRule="atLeast"/>
                    </w:trPr>
                    <w:tc>
                      <w:tcPr>
                        <w:tcW w:w="540" w:type="dxa"/>
                        <w:vMerge/>
                        <w:tcBorders>
                          <w:top w:val="nil"/>
                        </w:tcBorders>
                      </w:tcPr>
                      <w:p>
                        <w:pPr>
                          <w:rPr>
                            <w:sz w:val="2"/>
                            <w:szCs w:val="2"/>
                          </w:rPr>
                        </w:pPr>
                      </w:p>
                    </w:tc>
                    <w:tc>
                      <w:tcPr>
                        <w:tcW w:w="1440" w:type="dxa"/>
                      </w:tcPr>
                      <w:p>
                        <w:pPr>
                          <w:pStyle w:val="TableParagraph"/>
                          <w:spacing w:line="252" w:lineRule="exact" w:before="1"/>
                          <w:ind w:left="67" w:right="60"/>
                          <w:rPr>
                            <w:sz w:val="21"/>
                          </w:rPr>
                        </w:pPr>
                        <w:r>
                          <w:rPr>
                            <w:sz w:val="21"/>
                          </w:rPr>
                          <w:t>氢氧化钠</w:t>
                        </w:r>
                      </w:p>
                    </w:tc>
                    <w:tc>
                      <w:tcPr>
                        <w:tcW w:w="1754" w:type="dxa"/>
                      </w:tcPr>
                      <w:p>
                        <w:pPr>
                          <w:pStyle w:val="TableParagraph"/>
                          <w:jc w:val="left"/>
                          <w:rPr>
                            <w:rFonts w:ascii="Times New Roman"/>
                            <w:sz w:val="20"/>
                          </w:rPr>
                        </w:pPr>
                      </w:p>
                    </w:tc>
                    <w:tc>
                      <w:tcPr>
                        <w:tcW w:w="1408" w:type="dxa"/>
                      </w:tcPr>
                      <w:p>
                        <w:pPr>
                          <w:pStyle w:val="TableParagraph"/>
                          <w:spacing w:before="7"/>
                          <w:ind w:left="127" w:right="118"/>
                          <w:rPr>
                            <w:rFonts w:ascii="Times New Roman"/>
                            <w:sz w:val="21"/>
                          </w:rPr>
                        </w:pPr>
                        <w:r>
                          <w:rPr>
                            <w:rFonts w:ascii="Times New Roman"/>
                            <w:sz w:val="21"/>
                          </w:rPr>
                          <w:t>7.68</w:t>
                        </w:r>
                      </w:p>
                    </w:tc>
                    <w:tc>
                      <w:tcPr>
                        <w:tcW w:w="1226" w:type="dxa"/>
                      </w:tcPr>
                      <w:p>
                        <w:pPr>
                          <w:pStyle w:val="TableParagraph"/>
                          <w:spacing w:line="252" w:lineRule="exact" w:before="1"/>
                          <w:ind w:left="278" w:right="268"/>
                          <w:rPr>
                            <w:sz w:val="21"/>
                          </w:rPr>
                        </w:pPr>
                        <w:r>
                          <w:rPr>
                            <w:sz w:val="21"/>
                          </w:rPr>
                          <w:t>袋装</w:t>
                        </w:r>
                      </w:p>
                    </w:tc>
                    <w:tc>
                      <w:tcPr>
                        <w:tcW w:w="1224" w:type="dxa"/>
                      </w:tcPr>
                      <w:p>
                        <w:pPr>
                          <w:pStyle w:val="TableParagraph"/>
                          <w:spacing w:before="7"/>
                          <w:ind w:left="11" w:right="3"/>
                          <w:rPr>
                            <w:rFonts w:ascii="Times New Roman"/>
                            <w:sz w:val="21"/>
                          </w:rPr>
                        </w:pPr>
                        <w:r>
                          <w:rPr>
                            <w:rFonts w:ascii="Times New Roman"/>
                            <w:sz w:val="21"/>
                          </w:rPr>
                          <w:t>0.5</w:t>
                        </w:r>
                      </w:p>
                    </w:tc>
                    <w:tc>
                      <w:tcPr>
                        <w:tcW w:w="1066" w:type="dxa"/>
                      </w:tcPr>
                      <w:p>
                        <w:pPr>
                          <w:pStyle w:val="TableParagraph"/>
                          <w:spacing w:before="7"/>
                          <w:ind w:left="12"/>
                          <w:rPr>
                            <w:rFonts w:ascii="Times New Roman"/>
                            <w:sz w:val="21"/>
                          </w:rPr>
                        </w:pPr>
                        <w:r>
                          <w:rPr>
                            <w:rFonts w:ascii="Times New Roman"/>
                            <w:w w:val="100"/>
                            <w:sz w:val="21"/>
                          </w:rPr>
                          <w:t>1</w:t>
                        </w:r>
                      </w:p>
                    </w:tc>
                  </w:tr>
                  <w:tr>
                    <w:trPr>
                      <w:trHeight w:val="273" w:hRule="atLeast"/>
                    </w:trPr>
                    <w:tc>
                      <w:tcPr>
                        <w:tcW w:w="540" w:type="dxa"/>
                      </w:tcPr>
                      <w:p>
                        <w:pPr>
                          <w:pStyle w:val="TableParagraph"/>
                          <w:spacing w:line="252" w:lineRule="exact" w:before="1"/>
                          <w:ind w:left="38" w:right="31"/>
                          <w:rPr>
                            <w:sz w:val="21"/>
                          </w:rPr>
                        </w:pPr>
                        <w:r>
                          <w:rPr>
                            <w:sz w:val="21"/>
                          </w:rPr>
                          <w:t>产品</w:t>
                        </w:r>
                      </w:p>
                    </w:tc>
                    <w:tc>
                      <w:tcPr>
                        <w:tcW w:w="1440" w:type="dxa"/>
                      </w:tcPr>
                      <w:p>
                        <w:pPr>
                          <w:pStyle w:val="TableParagraph"/>
                          <w:spacing w:line="252" w:lineRule="exact" w:before="1"/>
                          <w:ind w:left="69" w:right="60"/>
                          <w:rPr>
                            <w:sz w:val="21"/>
                          </w:rPr>
                        </w:pPr>
                        <w:r>
                          <w:rPr>
                            <w:sz w:val="21"/>
                          </w:rPr>
                          <w:t>多元醇混合酯</w:t>
                        </w:r>
                      </w:p>
                    </w:tc>
                    <w:tc>
                      <w:tcPr>
                        <w:tcW w:w="1754" w:type="dxa"/>
                      </w:tcPr>
                      <w:p>
                        <w:pPr>
                          <w:pStyle w:val="TableParagraph"/>
                          <w:spacing w:before="7"/>
                          <w:ind w:left="437" w:right="423"/>
                          <w:rPr>
                            <w:rFonts w:ascii="Times New Roman"/>
                            <w:sz w:val="21"/>
                          </w:rPr>
                        </w:pPr>
                        <w:r>
                          <w:rPr>
                            <w:rFonts w:ascii="Times New Roman"/>
                            <w:sz w:val="21"/>
                          </w:rPr>
                          <w:t>--</w:t>
                        </w:r>
                      </w:p>
                    </w:tc>
                    <w:tc>
                      <w:tcPr>
                        <w:tcW w:w="1408" w:type="dxa"/>
                      </w:tcPr>
                      <w:p>
                        <w:pPr>
                          <w:pStyle w:val="TableParagraph"/>
                          <w:spacing w:before="7"/>
                          <w:ind w:left="127" w:right="118"/>
                          <w:rPr>
                            <w:rFonts w:ascii="Times New Roman"/>
                            <w:sz w:val="21"/>
                          </w:rPr>
                        </w:pPr>
                        <w:r>
                          <w:rPr>
                            <w:rFonts w:ascii="Times New Roman"/>
                            <w:sz w:val="21"/>
                          </w:rPr>
                          <w:t>20000</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before="7"/>
                          <w:ind w:left="11" w:right="3"/>
                          <w:rPr>
                            <w:rFonts w:ascii="Times New Roman"/>
                            <w:sz w:val="21"/>
                          </w:rPr>
                        </w:pPr>
                        <w:r>
                          <w:rPr>
                            <w:rFonts w:ascii="Times New Roman"/>
                            <w:sz w:val="21"/>
                          </w:rPr>
                          <w:t>250</w:t>
                        </w:r>
                      </w:p>
                    </w:tc>
                    <w:tc>
                      <w:tcPr>
                        <w:tcW w:w="1066" w:type="dxa"/>
                      </w:tcPr>
                      <w:p>
                        <w:pPr>
                          <w:pStyle w:val="TableParagraph"/>
                          <w:spacing w:before="7"/>
                          <w:ind w:left="97" w:right="85"/>
                          <w:rPr>
                            <w:rFonts w:ascii="Times New Roman"/>
                            <w:sz w:val="21"/>
                          </w:rPr>
                        </w:pPr>
                        <w:r>
                          <w:rPr>
                            <w:rFonts w:ascii="Times New Roman"/>
                            <w:sz w:val="21"/>
                          </w:rPr>
                          <w:t>300</w:t>
                        </w:r>
                      </w:p>
                    </w:tc>
                  </w:tr>
                  <w:tr>
                    <w:trPr>
                      <w:trHeight w:val="544" w:hRule="atLeast"/>
                    </w:trPr>
                    <w:tc>
                      <w:tcPr>
                        <w:tcW w:w="540" w:type="dxa"/>
                      </w:tcPr>
                      <w:p>
                        <w:pPr>
                          <w:pStyle w:val="TableParagraph"/>
                          <w:spacing w:before="1"/>
                          <w:ind w:left="57"/>
                          <w:jc w:val="left"/>
                          <w:rPr>
                            <w:sz w:val="21"/>
                          </w:rPr>
                        </w:pPr>
                        <w:r>
                          <w:rPr>
                            <w:sz w:val="21"/>
                          </w:rPr>
                          <w:t>副产</w:t>
                        </w:r>
                      </w:p>
                      <w:p>
                        <w:pPr>
                          <w:pStyle w:val="TableParagraph"/>
                          <w:spacing w:line="252" w:lineRule="exact" w:before="2"/>
                          <w:ind w:left="163"/>
                          <w:jc w:val="left"/>
                          <w:rPr>
                            <w:sz w:val="21"/>
                          </w:rPr>
                        </w:pPr>
                        <w:r>
                          <w:rPr>
                            <w:w w:val="100"/>
                            <w:sz w:val="21"/>
                          </w:rPr>
                          <w:t>品</w:t>
                        </w:r>
                      </w:p>
                    </w:tc>
                    <w:tc>
                      <w:tcPr>
                        <w:tcW w:w="1440" w:type="dxa"/>
                      </w:tcPr>
                      <w:p>
                        <w:pPr>
                          <w:pStyle w:val="TableParagraph"/>
                          <w:spacing w:before="137"/>
                          <w:ind w:left="69" w:right="60"/>
                          <w:rPr>
                            <w:sz w:val="21"/>
                          </w:rPr>
                        </w:pPr>
                        <w:r>
                          <w:rPr>
                            <w:sz w:val="21"/>
                          </w:rPr>
                          <w:t>醋酸钠</w:t>
                        </w:r>
                      </w:p>
                    </w:tc>
                    <w:tc>
                      <w:tcPr>
                        <w:tcW w:w="1754" w:type="dxa"/>
                      </w:tcPr>
                      <w:p>
                        <w:pPr>
                          <w:pStyle w:val="TableParagraph"/>
                          <w:spacing w:before="144"/>
                          <w:ind w:left="437" w:right="423"/>
                          <w:rPr>
                            <w:rFonts w:ascii="Times New Roman"/>
                            <w:sz w:val="21"/>
                          </w:rPr>
                        </w:pPr>
                        <w:r>
                          <w:rPr>
                            <w:rFonts w:ascii="Times New Roman"/>
                            <w:sz w:val="21"/>
                          </w:rPr>
                          <w:t>--</w:t>
                        </w:r>
                      </w:p>
                    </w:tc>
                    <w:tc>
                      <w:tcPr>
                        <w:tcW w:w="1408" w:type="dxa"/>
                      </w:tcPr>
                      <w:p>
                        <w:pPr>
                          <w:pStyle w:val="TableParagraph"/>
                          <w:spacing w:before="144"/>
                          <w:ind w:left="127" w:right="118"/>
                          <w:rPr>
                            <w:rFonts w:ascii="Times New Roman"/>
                            <w:sz w:val="21"/>
                          </w:rPr>
                        </w:pPr>
                        <w:r>
                          <w:rPr>
                            <w:rFonts w:ascii="Times New Roman"/>
                            <w:sz w:val="21"/>
                          </w:rPr>
                          <w:t>15.74</w:t>
                        </w:r>
                      </w:p>
                    </w:tc>
                    <w:tc>
                      <w:tcPr>
                        <w:tcW w:w="1226" w:type="dxa"/>
                      </w:tcPr>
                      <w:p>
                        <w:pPr>
                          <w:pStyle w:val="TableParagraph"/>
                          <w:spacing w:before="137"/>
                          <w:ind w:left="278" w:right="268"/>
                          <w:rPr>
                            <w:sz w:val="21"/>
                          </w:rPr>
                        </w:pPr>
                        <w:r>
                          <w:rPr>
                            <w:sz w:val="21"/>
                          </w:rPr>
                          <w:t>袋装</w:t>
                        </w:r>
                      </w:p>
                    </w:tc>
                    <w:tc>
                      <w:tcPr>
                        <w:tcW w:w="1224" w:type="dxa"/>
                      </w:tcPr>
                      <w:p>
                        <w:pPr>
                          <w:pStyle w:val="TableParagraph"/>
                          <w:spacing w:before="144"/>
                          <w:ind w:left="8"/>
                          <w:rPr>
                            <w:rFonts w:ascii="Times New Roman"/>
                            <w:sz w:val="21"/>
                          </w:rPr>
                        </w:pPr>
                        <w:r>
                          <w:rPr>
                            <w:rFonts w:ascii="Times New Roman"/>
                            <w:w w:val="100"/>
                            <w:sz w:val="21"/>
                          </w:rPr>
                          <w:t>1</w:t>
                        </w:r>
                      </w:p>
                    </w:tc>
                    <w:tc>
                      <w:tcPr>
                        <w:tcW w:w="1066" w:type="dxa"/>
                      </w:tcPr>
                      <w:p>
                        <w:pPr>
                          <w:pStyle w:val="TableParagraph"/>
                          <w:spacing w:before="144"/>
                          <w:ind w:left="12"/>
                          <w:rPr>
                            <w:rFonts w:ascii="Times New Roman"/>
                            <w:sz w:val="21"/>
                          </w:rPr>
                        </w:pPr>
                        <w:r>
                          <w:rPr>
                            <w:rFonts w:ascii="Times New Roman"/>
                            <w:w w:val="100"/>
                            <w:sz w:val="21"/>
                          </w:rPr>
                          <w:t>1</w:t>
                        </w:r>
                      </w:p>
                    </w:tc>
                  </w:tr>
                  <w:tr>
                    <w:trPr>
                      <w:trHeight w:val="270" w:hRule="atLeast"/>
                    </w:trPr>
                    <w:tc>
                      <w:tcPr>
                        <w:tcW w:w="540" w:type="dxa"/>
                      </w:tcPr>
                      <w:p>
                        <w:pPr>
                          <w:pStyle w:val="TableParagraph"/>
                          <w:spacing w:line="250" w:lineRule="exact" w:before="1"/>
                          <w:ind w:left="7"/>
                          <w:rPr>
                            <w:sz w:val="21"/>
                          </w:rPr>
                        </w:pPr>
                        <w:r>
                          <w:rPr>
                            <w:w w:val="100"/>
                            <w:sz w:val="21"/>
                          </w:rPr>
                          <w:t>三</w:t>
                        </w:r>
                      </w:p>
                    </w:tc>
                    <w:tc>
                      <w:tcPr>
                        <w:tcW w:w="8118" w:type="dxa"/>
                        <w:gridSpan w:val="6"/>
                      </w:tcPr>
                      <w:p>
                        <w:pPr>
                          <w:pStyle w:val="TableParagraph"/>
                          <w:spacing w:line="250" w:lineRule="exact" w:before="1"/>
                          <w:ind w:left="2542" w:right="2527"/>
                          <w:rPr>
                            <w:sz w:val="21"/>
                          </w:rPr>
                        </w:pPr>
                        <w:r>
                          <w:rPr>
                            <w:rFonts w:ascii="Times New Roman" w:eastAsia="Times New Roman"/>
                            <w:sz w:val="21"/>
                          </w:rPr>
                          <w:t>3000t/a </w:t>
                        </w:r>
                        <w:r>
                          <w:rPr>
                            <w:sz w:val="21"/>
                          </w:rPr>
                          <w:t>乙腈生产扩建项目</w:t>
                        </w:r>
                      </w:p>
                    </w:tc>
                  </w:tr>
                  <w:tr>
                    <w:trPr>
                      <w:trHeight w:val="546" w:hRule="atLeast"/>
                    </w:trPr>
                    <w:tc>
                      <w:tcPr>
                        <w:tcW w:w="540" w:type="dxa"/>
                      </w:tcPr>
                      <w:p>
                        <w:pPr>
                          <w:pStyle w:val="TableParagraph"/>
                          <w:spacing w:before="137"/>
                          <w:ind w:left="38" w:right="31"/>
                          <w:rPr>
                            <w:sz w:val="21"/>
                          </w:rPr>
                        </w:pPr>
                        <w:r>
                          <w:rPr>
                            <w:sz w:val="21"/>
                          </w:rPr>
                          <w:t>原料</w:t>
                        </w:r>
                      </w:p>
                    </w:tc>
                    <w:tc>
                      <w:tcPr>
                        <w:tcW w:w="1440" w:type="dxa"/>
                      </w:tcPr>
                      <w:p>
                        <w:pPr>
                          <w:pStyle w:val="TableParagraph"/>
                          <w:spacing w:before="137"/>
                          <w:ind w:left="69" w:right="60"/>
                          <w:rPr>
                            <w:sz w:val="21"/>
                          </w:rPr>
                        </w:pPr>
                        <w:r>
                          <w:rPr>
                            <w:sz w:val="21"/>
                          </w:rPr>
                          <w:t>废乙腈</w:t>
                        </w:r>
                      </w:p>
                    </w:tc>
                    <w:tc>
                      <w:tcPr>
                        <w:tcW w:w="1754" w:type="dxa"/>
                      </w:tcPr>
                      <w:p>
                        <w:pPr>
                          <w:pStyle w:val="TableParagraph"/>
                          <w:jc w:val="left"/>
                          <w:rPr>
                            <w:rFonts w:ascii="Times New Roman"/>
                            <w:sz w:val="22"/>
                          </w:rPr>
                        </w:pPr>
                      </w:p>
                    </w:tc>
                    <w:tc>
                      <w:tcPr>
                        <w:tcW w:w="1408" w:type="dxa"/>
                      </w:tcPr>
                      <w:p>
                        <w:pPr>
                          <w:pStyle w:val="TableParagraph"/>
                          <w:spacing w:before="144"/>
                          <w:ind w:left="127" w:right="118"/>
                          <w:rPr>
                            <w:rFonts w:ascii="Times New Roman"/>
                            <w:sz w:val="21"/>
                          </w:rPr>
                        </w:pPr>
                        <w:r>
                          <w:rPr>
                            <w:rFonts w:ascii="Times New Roman"/>
                            <w:sz w:val="21"/>
                          </w:rPr>
                          <w:t>6000</w:t>
                        </w:r>
                      </w:p>
                    </w:tc>
                    <w:tc>
                      <w:tcPr>
                        <w:tcW w:w="1226" w:type="dxa"/>
                      </w:tcPr>
                      <w:p>
                        <w:pPr>
                          <w:pStyle w:val="TableParagraph"/>
                          <w:spacing w:before="137"/>
                          <w:ind w:left="278" w:right="268"/>
                          <w:rPr>
                            <w:sz w:val="21"/>
                          </w:rPr>
                        </w:pPr>
                        <w:r>
                          <w:rPr>
                            <w:sz w:val="21"/>
                          </w:rPr>
                          <w:t>罐装</w:t>
                        </w:r>
                      </w:p>
                    </w:tc>
                    <w:tc>
                      <w:tcPr>
                        <w:tcW w:w="1224" w:type="dxa"/>
                      </w:tcPr>
                      <w:p>
                        <w:pPr>
                          <w:pStyle w:val="TableParagraph"/>
                          <w:spacing w:before="1"/>
                          <w:ind w:left="16" w:right="3"/>
                          <w:rPr>
                            <w:sz w:val="21"/>
                          </w:rPr>
                        </w:pPr>
                        <w:r>
                          <w:rPr>
                            <w:rFonts w:ascii="Times New Roman" w:eastAsia="Times New Roman"/>
                            <w:sz w:val="21"/>
                          </w:rPr>
                          <w:t>300</w:t>
                        </w:r>
                        <w:r>
                          <w:rPr>
                            <w:sz w:val="21"/>
                          </w:rPr>
                          <w:t>（含乙腈</w:t>
                        </w:r>
                      </w:p>
                      <w:p>
                        <w:pPr>
                          <w:pStyle w:val="TableParagraph"/>
                          <w:spacing w:line="252" w:lineRule="exact" w:before="4"/>
                          <w:ind w:left="13" w:right="3"/>
                          <w:rPr>
                            <w:sz w:val="21"/>
                          </w:rPr>
                        </w:pPr>
                        <w:r>
                          <w:rPr>
                            <w:rFonts w:ascii="Times New Roman" w:eastAsia="Times New Roman"/>
                            <w:sz w:val="21"/>
                          </w:rPr>
                          <w:t>50%</w:t>
                        </w:r>
                        <w:r>
                          <w:rPr>
                            <w:sz w:val="21"/>
                          </w:rPr>
                          <w:t>）</w:t>
                        </w:r>
                      </w:p>
                    </w:tc>
                    <w:tc>
                      <w:tcPr>
                        <w:tcW w:w="1066" w:type="dxa"/>
                      </w:tcPr>
                      <w:p>
                        <w:pPr>
                          <w:pStyle w:val="TableParagraph"/>
                          <w:spacing w:before="144"/>
                          <w:ind w:left="97" w:right="85"/>
                          <w:rPr>
                            <w:rFonts w:ascii="Times New Roman"/>
                            <w:sz w:val="21"/>
                          </w:rPr>
                        </w:pPr>
                        <w:r>
                          <w:rPr>
                            <w:rFonts w:ascii="Times New Roman"/>
                            <w:sz w:val="21"/>
                          </w:rPr>
                          <w:t>300</w:t>
                        </w:r>
                      </w:p>
                    </w:tc>
                  </w:tr>
                  <w:tr>
                    <w:trPr>
                      <w:trHeight w:val="270" w:hRule="atLeast"/>
                    </w:trPr>
                    <w:tc>
                      <w:tcPr>
                        <w:tcW w:w="540" w:type="dxa"/>
                      </w:tcPr>
                      <w:p>
                        <w:pPr>
                          <w:pStyle w:val="TableParagraph"/>
                          <w:spacing w:line="250" w:lineRule="exact" w:before="1"/>
                          <w:ind w:left="38" w:right="31"/>
                          <w:rPr>
                            <w:sz w:val="21"/>
                          </w:rPr>
                        </w:pPr>
                        <w:r>
                          <w:rPr>
                            <w:sz w:val="21"/>
                          </w:rPr>
                          <w:t>产品</w:t>
                        </w:r>
                      </w:p>
                    </w:tc>
                    <w:tc>
                      <w:tcPr>
                        <w:tcW w:w="1440" w:type="dxa"/>
                      </w:tcPr>
                      <w:p>
                        <w:pPr>
                          <w:pStyle w:val="TableParagraph"/>
                          <w:spacing w:line="250" w:lineRule="exact" w:before="1"/>
                          <w:ind w:left="69" w:right="60"/>
                          <w:rPr>
                            <w:sz w:val="21"/>
                          </w:rPr>
                        </w:pPr>
                        <w:r>
                          <w:rPr>
                            <w:sz w:val="21"/>
                          </w:rPr>
                          <w:t>乙腈</w:t>
                        </w:r>
                      </w:p>
                    </w:tc>
                    <w:tc>
                      <w:tcPr>
                        <w:tcW w:w="1754" w:type="dxa"/>
                      </w:tcPr>
                      <w:p>
                        <w:pPr>
                          <w:pStyle w:val="TableParagraph"/>
                          <w:jc w:val="left"/>
                          <w:rPr>
                            <w:rFonts w:ascii="Times New Roman"/>
                            <w:sz w:val="20"/>
                          </w:rPr>
                        </w:pPr>
                      </w:p>
                    </w:tc>
                    <w:tc>
                      <w:tcPr>
                        <w:tcW w:w="1408" w:type="dxa"/>
                      </w:tcPr>
                      <w:p>
                        <w:pPr>
                          <w:pStyle w:val="TableParagraph"/>
                          <w:spacing w:before="8"/>
                          <w:ind w:left="127" w:right="118"/>
                          <w:rPr>
                            <w:rFonts w:ascii="Times New Roman"/>
                            <w:sz w:val="21"/>
                          </w:rPr>
                        </w:pPr>
                        <w:r>
                          <w:rPr>
                            <w:rFonts w:ascii="Times New Roman"/>
                            <w:sz w:val="21"/>
                          </w:rPr>
                          <w:t>3000</w:t>
                        </w:r>
                      </w:p>
                    </w:tc>
                    <w:tc>
                      <w:tcPr>
                        <w:tcW w:w="1226" w:type="dxa"/>
                      </w:tcPr>
                      <w:p>
                        <w:pPr>
                          <w:pStyle w:val="TableParagraph"/>
                          <w:spacing w:line="250" w:lineRule="exact" w:before="1"/>
                          <w:ind w:left="278" w:right="268"/>
                          <w:rPr>
                            <w:sz w:val="21"/>
                          </w:rPr>
                        </w:pPr>
                        <w:r>
                          <w:rPr>
                            <w:sz w:val="21"/>
                          </w:rPr>
                          <w:t>罐装</w:t>
                        </w:r>
                      </w:p>
                    </w:tc>
                    <w:tc>
                      <w:tcPr>
                        <w:tcW w:w="1224" w:type="dxa"/>
                      </w:tcPr>
                      <w:p>
                        <w:pPr>
                          <w:pStyle w:val="TableParagraph"/>
                          <w:spacing w:before="8"/>
                          <w:ind w:left="11" w:right="3"/>
                          <w:rPr>
                            <w:rFonts w:ascii="Times New Roman"/>
                            <w:sz w:val="21"/>
                          </w:rPr>
                        </w:pPr>
                        <w:r>
                          <w:rPr>
                            <w:rFonts w:ascii="Times New Roman"/>
                            <w:sz w:val="21"/>
                          </w:rPr>
                          <w:t>70</w:t>
                        </w:r>
                      </w:p>
                    </w:tc>
                    <w:tc>
                      <w:tcPr>
                        <w:tcW w:w="1066" w:type="dxa"/>
                      </w:tcPr>
                      <w:p>
                        <w:pPr>
                          <w:pStyle w:val="TableParagraph"/>
                          <w:spacing w:before="8"/>
                          <w:ind w:left="97" w:right="85"/>
                          <w:rPr>
                            <w:rFonts w:ascii="Times New Roman"/>
                            <w:sz w:val="21"/>
                          </w:rPr>
                        </w:pPr>
                        <w:r>
                          <w:rPr>
                            <w:rFonts w:ascii="Times New Roman"/>
                            <w:sz w:val="21"/>
                          </w:rPr>
                          <w:t>89</w:t>
                        </w:r>
                      </w:p>
                    </w:tc>
                  </w:tr>
                  <w:tr>
                    <w:trPr>
                      <w:trHeight w:val="273" w:hRule="atLeast"/>
                    </w:trPr>
                    <w:tc>
                      <w:tcPr>
                        <w:tcW w:w="540" w:type="dxa"/>
                      </w:tcPr>
                      <w:p>
                        <w:pPr>
                          <w:pStyle w:val="TableParagraph"/>
                          <w:spacing w:line="252" w:lineRule="exact" w:before="1"/>
                          <w:ind w:left="7"/>
                          <w:rPr>
                            <w:sz w:val="21"/>
                          </w:rPr>
                        </w:pPr>
                        <w:r>
                          <w:rPr>
                            <w:w w:val="100"/>
                            <w:sz w:val="21"/>
                          </w:rPr>
                          <w:t>四</w:t>
                        </w:r>
                      </w:p>
                    </w:tc>
                    <w:tc>
                      <w:tcPr>
                        <w:tcW w:w="8118" w:type="dxa"/>
                        <w:gridSpan w:val="6"/>
                      </w:tcPr>
                      <w:p>
                        <w:pPr>
                          <w:pStyle w:val="TableParagraph"/>
                          <w:spacing w:line="252" w:lineRule="exact" w:before="1"/>
                          <w:ind w:left="2542" w:right="2532"/>
                          <w:rPr>
                            <w:sz w:val="21"/>
                          </w:rPr>
                        </w:pPr>
                        <w:r>
                          <w:rPr>
                            <w:rFonts w:ascii="Times New Roman" w:eastAsia="Times New Roman"/>
                            <w:sz w:val="21"/>
                          </w:rPr>
                          <w:t>500 </w:t>
                        </w:r>
                        <w:r>
                          <w:rPr>
                            <w:sz w:val="21"/>
                          </w:rPr>
                          <w:t>吨</w:t>
                        </w:r>
                        <w:r>
                          <w:rPr>
                            <w:rFonts w:ascii="Times New Roman" w:eastAsia="Times New Roman"/>
                            <w:sz w:val="21"/>
                          </w:rPr>
                          <w:t>/</w:t>
                        </w:r>
                        <w:r>
                          <w:rPr>
                            <w:sz w:val="21"/>
                          </w:rPr>
                          <w:t>年乙腈灌装项目</w:t>
                        </w:r>
                      </w:p>
                    </w:tc>
                  </w:tr>
                  <w:tr>
                    <w:trPr>
                      <w:trHeight w:val="273" w:hRule="atLeast"/>
                    </w:trPr>
                    <w:tc>
                      <w:tcPr>
                        <w:tcW w:w="540" w:type="dxa"/>
                      </w:tcPr>
                      <w:p>
                        <w:pPr>
                          <w:pStyle w:val="TableParagraph"/>
                          <w:spacing w:line="252" w:lineRule="exact" w:before="1"/>
                          <w:ind w:left="38" w:right="31"/>
                          <w:rPr>
                            <w:sz w:val="21"/>
                          </w:rPr>
                        </w:pPr>
                        <w:r>
                          <w:rPr>
                            <w:sz w:val="21"/>
                          </w:rPr>
                          <w:t>原料</w:t>
                        </w:r>
                      </w:p>
                    </w:tc>
                    <w:tc>
                      <w:tcPr>
                        <w:tcW w:w="1440" w:type="dxa"/>
                      </w:tcPr>
                      <w:p>
                        <w:pPr>
                          <w:pStyle w:val="TableParagraph"/>
                          <w:spacing w:line="252" w:lineRule="exact" w:before="1"/>
                          <w:ind w:left="69" w:right="60"/>
                          <w:rPr>
                            <w:sz w:val="21"/>
                          </w:rPr>
                        </w:pPr>
                        <w:r>
                          <w:rPr>
                            <w:sz w:val="21"/>
                          </w:rPr>
                          <w:t>乙腈</w:t>
                        </w:r>
                      </w:p>
                    </w:tc>
                    <w:tc>
                      <w:tcPr>
                        <w:tcW w:w="1754" w:type="dxa"/>
                      </w:tcPr>
                      <w:p>
                        <w:pPr>
                          <w:pStyle w:val="TableParagraph"/>
                          <w:jc w:val="left"/>
                          <w:rPr>
                            <w:rFonts w:ascii="Times New Roman"/>
                            <w:sz w:val="20"/>
                          </w:rPr>
                        </w:pPr>
                      </w:p>
                    </w:tc>
                    <w:tc>
                      <w:tcPr>
                        <w:tcW w:w="1408" w:type="dxa"/>
                      </w:tcPr>
                      <w:p>
                        <w:pPr>
                          <w:pStyle w:val="TableParagraph"/>
                          <w:spacing w:before="7"/>
                          <w:ind w:left="127" w:right="118"/>
                          <w:rPr>
                            <w:rFonts w:ascii="Times New Roman"/>
                            <w:sz w:val="21"/>
                          </w:rPr>
                        </w:pPr>
                        <w:r>
                          <w:rPr>
                            <w:rFonts w:ascii="Times New Roman"/>
                            <w:sz w:val="21"/>
                          </w:rPr>
                          <w:t>500</w:t>
                        </w:r>
                      </w:p>
                    </w:tc>
                    <w:tc>
                      <w:tcPr>
                        <w:tcW w:w="1226" w:type="dxa"/>
                      </w:tcPr>
                      <w:p>
                        <w:pPr>
                          <w:pStyle w:val="TableParagraph"/>
                          <w:spacing w:line="252" w:lineRule="exact" w:before="1"/>
                          <w:ind w:left="278" w:right="268"/>
                          <w:rPr>
                            <w:sz w:val="21"/>
                          </w:rPr>
                        </w:pPr>
                        <w:r>
                          <w:rPr>
                            <w:sz w:val="21"/>
                          </w:rPr>
                          <w:t>罐装</w:t>
                        </w:r>
                      </w:p>
                    </w:tc>
                    <w:tc>
                      <w:tcPr>
                        <w:tcW w:w="1224" w:type="dxa"/>
                      </w:tcPr>
                      <w:p>
                        <w:pPr>
                          <w:pStyle w:val="TableParagraph"/>
                          <w:spacing w:line="252" w:lineRule="exact" w:before="1"/>
                          <w:ind w:left="13" w:right="3"/>
                          <w:rPr>
                            <w:sz w:val="21"/>
                          </w:rPr>
                        </w:pPr>
                        <w:r>
                          <w:rPr>
                            <w:rFonts w:ascii="Times New Roman" w:eastAsia="Times New Roman"/>
                            <w:sz w:val="21"/>
                          </w:rPr>
                          <w:t>50</w:t>
                        </w:r>
                        <w:r>
                          <w:rPr>
                            <w:sz w:val="21"/>
                          </w:rPr>
                          <w:t>（自产）</w:t>
                        </w:r>
                      </w:p>
                    </w:tc>
                    <w:tc>
                      <w:tcPr>
                        <w:tcW w:w="1066" w:type="dxa"/>
                      </w:tcPr>
                      <w:p>
                        <w:pPr>
                          <w:pStyle w:val="TableParagraph"/>
                          <w:spacing w:line="252" w:lineRule="exact" w:before="1"/>
                          <w:ind w:right="85"/>
                          <w:rPr>
                            <w:sz w:val="21"/>
                          </w:rPr>
                        </w:pPr>
                        <w:r>
                          <w:rPr>
                            <w:rFonts w:ascii="Times New Roman" w:eastAsia="Times New Roman"/>
                            <w:spacing w:val="-10"/>
                            <w:sz w:val="21"/>
                          </w:rPr>
                          <w:t>52.5</w:t>
                        </w:r>
                        <w:r>
                          <w:rPr>
                            <w:spacing w:val="-10"/>
                            <w:sz w:val="21"/>
                          </w:rPr>
                          <w:t>（</w:t>
                        </w:r>
                        <w:r>
                          <w:rPr>
                            <w:sz w:val="21"/>
                          </w:rPr>
                          <w:t>自产</w:t>
                        </w:r>
                      </w:p>
                    </w:tc>
                  </w:tr>
                  <w:tr>
                    <w:trPr>
                      <w:trHeight w:val="544" w:hRule="atLeast"/>
                    </w:trPr>
                    <w:tc>
                      <w:tcPr>
                        <w:tcW w:w="540" w:type="dxa"/>
                      </w:tcPr>
                      <w:p>
                        <w:pPr>
                          <w:pStyle w:val="TableParagraph"/>
                          <w:spacing w:before="138"/>
                          <w:ind w:left="38" w:right="31"/>
                          <w:rPr>
                            <w:sz w:val="21"/>
                          </w:rPr>
                        </w:pPr>
                        <w:r>
                          <w:rPr>
                            <w:sz w:val="21"/>
                          </w:rPr>
                          <w:t>产品</w:t>
                        </w:r>
                      </w:p>
                    </w:tc>
                    <w:tc>
                      <w:tcPr>
                        <w:tcW w:w="1440" w:type="dxa"/>
                      </w:tcPr>
                      <w:p>
                        <w:pPr>
                          <w:pStyle w:val="TableParagraph"/>
                          <w:spacing w:before="138"/>
                          <w:ind w:left="67" w:right="60"/>
                          <w:rPr>
                            <w:sz w:val="21"/>
                          </w:rPr>
                        </w:pPr>
                        <w:r>
                          <w:rPr>
                            <w:sz w:val="21"/>
                          </w:rPr>
                          <w:t>瓶装乙腈</w:t>
                        </w:r>
                      </w:p>
                    </w:tc>
                    <w:tc>
                      <w:tcPr>
                        <w:tcW w:w="1754" w:type="dxa"/>
                      </w:tcPr>
                      <w:p>
                        <w:pPr>
                          <w:pStyle w:val="TableParagraph"/>
                          <w:spacing w:before="144"/>
                          <w:ind w:left="437" w:right="426"/>
                          <w:rPr>
                            <w:rFonts w:ascii="Times New Roman"/>
                            <w:sz w:val="21"/>
                          </w:rPr>
                        </w:pPr>
                        <w:r>
                          <w:rPr>
                            <w:rFonts w:ascii="Times New Roman"/>
                            <w:sz w:val="21"/>
                          </w:rPr>
                          <w:t>4000ml</w:t>
                        </w:r>
                      </w:p>
                    </w:tc>
                    <w:tc>
                      <w:tcPr>
                        <w:tcW w:w="1408" w:type="dxa"/>
                      </w:tcPr>
                      <w:p>
                        <w:pPr>
                          <w:pStyle w:val="TableParagraph"/>
                          <w:spacing w:before="1"/>
                          <w:ind w:left="5" w:right="-15"/>
                          <w:jc w:val="left"/>
                          <w:rPr>
                            <w:sz w:val="21"/>
                          </w:rPr>
                        </w:pPr>
                        <w:r>
                          <w:rPr>
                            <w:rFonts w:ascii="Times New Roman" w:eastAsia="Times New Roman"/>
                            <w:sz w:val="21"/>
                          </w:rPr>
                          <w:t>12.5</w:t>
                        </w:r>
                        <w:r>
                          <w:rPr>
                            <w:rFonts w:ascii="Times New Roman" w:eastAsia="Times New Roman"/>
                            <w:spacing w:val="6"/>
                            <w:sz w:val="21"/>
                          </w:rPr>
                          <w:t> </w:t>
                        </w:r>
                        <w:r>
                          <w:rPr>
                            <w:spacing w:val="-20"/>
                            <w:sz w:val="21"/>
                          </w:rPr>
                          <w:t>万瓶，共计</w:t>
                        </w:r>
                      </w:p>
                      <w:p>
                        <w:pPr>
                          <w:pStyle w:val="TableParagraph"/>
                          <w:spacing w:line="252" w:lineRule="exact" w:before="2"/>
                          <w:ind w:left="413"/>
                          <w:jc w:val="left"/>
                          <w:rPr>
                            <w:sz w:val="21"/>
                          </w:rPr>
                        </w:pPr>
                        <w:r>
                          <w:rPr>
                            <w:rFonts w:ascii="Times New Roman" w:eastAsia="Times New Roman"/>
                            <w:sz w:val="21"/>
                          </w:rPr>
                          <w:t>500 </w:t>
                        </w:r>
                        <w:r>
                          <w:rPr>
                            <w:sz w:val="21"/>
                          </w:rPr>
                          <w:t>吨</w:t>
                        </w:r>
                      </w:p>
                    </w:tc>
                    <w:tc>
                      <w:tcPr>
                        <w:tcW w:w="1226" w:type="dxa"/>
                      </w:tcPr>
                      <w:p>
                        <w:pPr>
                          <w:pStyle w:val="TableParagraph"/>
                          <w:spacing w:before="138"/>
                          <w:ind w:left="278" w:right="268"/>
                          <w:rPr>
                            <w:sz w:val="21"/>
                          </w:rPr>
                        </w:pPr>
                        <w:r>
                          <w:rPr>
                            <w:sz w:val="21"/>
                          </w:rPr>
                          <w:t>瓶装</w:t>
                        </w:r>
                      </w:p>
                    </w:tc>
                    <w:tc>
                      <w:tcPr>
                        <w:tcW w:w="1224" w:type="dxa"/>
                      </w:tcPr>
                      <w:p>
                        <w:pPr>
                          <w:pStyle w:val="TableParagraph"/>
                          <w:spacing w:before="144"/>
                          <w:ind w:left="8"/>
                          <w:rPr>
                            <w:rFonts w:ascii="Times New Roman"/>
                            <w:sz w:val="21"/>
                          </w:rPr>
                        </w:pPr>
                        <w:r>
                          <w:rPr>
                            <w:rFonts w:ascii="Times New Roman"/>
                            <w:w w:val="100"/>
                            <w:sz w:val="21"/>
                          </w:rPr>
                          <w:t>5</w:t>
                        </w:r>
                      </w:p>
                    </w:tc>
                    <w:tc>
                      <w:tcPr>
                        <w:tcW w:w="1066" w:type="dxa"/>
                      </w:tcPr>
                      <w:p>
                        <w:pPr>
                          <w:pStyle w:val="TableParagraph"/>
                          <w:spacing w:before="144"/>
                          <w:ind w:left="97" w:right="85"/>
                          <w:rPr>
                            <w:rFonts w:ascii="Times New Roman"/>
                            <w:sz w:val="21"/>
                          </w:rPr>
                        </w:pPr>
                        <w:r>
                          <w:rPr>
                            <w:rFonts w:ascii="Times New Roman"/>
                            <w:sz w:val="21"/>
                          </w:rPr>
                          <w:t>10</w:t>
                        </w:r>
                      </w:p>
                    </w:tc>
                  </w:tr>
                  <w:tr>
                    <w:trPr>
                      <w:trHeight w:val="270" w:hRule="atLeast"/>
                    </w:trPr>
                    <w:tc>
                      <w:tcPr>
                        <w:tcW w:w="540" w:type="dxa"/>
                      </w:tcPr>
                      <w:p>
                        <w:pPr>
                          <w:pStyle w:val="TableParagraph"/>
                          <w:spacing w:line="250" w:lineRule="exact" w:before="1"/>
                          <w:ind w:left="7"/>
                          <w:rPr>
                            <w:sz w:val="21"/>
                          </w:rPr>
                        </w:pPr>
                        <w:r>
                          <w:rPr>
                            <w:w w:val="100"/>
                            <w:sz w:val="21"/>
                          </w:rPr>
                          <w:t>五</w:t>
                        </w:r>
                      </w:p>
                    </w:tc>
                    <w:tc>
                      <w:tcPr>
                        <w:tcW w:w="8118" w:type="dxa"/>
                        <w:gridSpan w:val="6"/>
                      </w:tcPr>
                      <w:p>
                        <w:pPr>
                          <w:pStyle w:val="TableParagraph"/>
                          <w:spacing w:line="250" w:lineRule="exact" w:before="1"/>
                          <w:ind w:left="2542" w:right="2532"/>
                          <w:rPr>
                            <w:sz w:val="21"/>
                          </w:rPr>
                        </w:pPr>
                        <w:r>
                          <w:rPr>
                            <w:sz w:val="21"/>
                          </w:rPr>
                          <w:t>辅助原料</w:t>
                        </w:r>
                      </w:p>
                    </w:tc>
                  </w:tr>
                  <w:tr>
                    <w:trPr>
                      <w:trHeight w:val="273" w:hRule="atLeast"/>
                    </w:trPr>
                    <w:tc>
                      <w:tcPr>
                        <w:tcW w:w="540" w:type="dxa"/>
                      </w:tcPr>
                      <w:p>
                        <w:pPr>
                          <w:pStyle w:val="TableParagraph"/>
                          <w:jc w:val="left"/>
                          <w:rPr>
                            <w:rFonts w:ascii="Times New Roman"/>
                            <w:sz w:val="20"/>
                          </w:rPr>
                        </w:pPr>
                      </w:p>
                    </w:tc>
                    <w:tc>
                      <w:tcPr>
                        <w:tcW w:w="1440" w:type="dxa"/>
                      </w:tcPr>
                      <w:p>
                        <w:pPr>
                          <w:pStyle w:val="TableParagraph"/>
                          <w:spacing w:line="252" w:lineRule="exact" w:before="1"/>
                          <w:ind w:left="69" w:right="60"/>
                          <w:rPr>
                            <w:sz w:val="21"/>
                          </w:rPr>
                        </w:pPr>
                        <w:r>
                          <w:rPr>
                            <w:sz w:val="21"/>
                          </w:rPr>
                          <w:t>天然气</w:t>
                        </w:r>
                      </w:p>
                    </w:tc>
                    <w:tc>
                      <w:tcPr>
                        <w:tcW w:w="1754" w:type="dxa"/>
                      </w:tcPr>
                      <w:p>
                        <w:pPr>
                          <w:pStyle w:val="TableParagraph"/>
                          <w:jc w:val="left"/>
                          <w:rPr>
                            <w:rFonts w:ascii="Times New Roman"/>
                            <w:sz w:val="20"/>
                          </w:rPr>
                        </w:pPr>
                      </w:p>
                    </w:tc>
                    <w:tc>
                      <w:tcPr>
                        <w:tcW w:w="1408" w:type="dxa"/>
                      </w:tcPr>
                      <w:p>
                        <w:pPr>
                          <w:pStyle w:val="TableParagraph"/>
                          <w:spacing w:line="252" w:lineRule="exact" w:before="1"/>
                          <w:ind w:left="65"/>
                          <w:jc w:val="left"/>
                          <w:rPr>
                            <w:rFonts w:ascii="Times New Roman" w:eastAsia="Times New Roman"/>
                            <w:sz w:val="21"/>
                          </w:rPr>
                        </w:pPr>
                        <w:r>
                          <w:rPr>
                            <w:rFonts w:ascii="Times New Roman" w:eastAsia="Times New Roman"/>
                            <w:sz w:val="21"/>
                          </w:rPr>
                          <w:t>265.48 </w:t>
                        </w:r>
                        <w:r>
                          <w:rPr>
                            <w:sz w:val="21"/>
                          </w:rPr>
                          <w:t>万 </w:t>
                        </w:r>
                        <w:r>
                          <w:rPr>
                            <w:rFonts w:ascii="Times New Roman" w:eastAsia="Times New Roman"/>
                            <w:sz w:val="21"/>
                          </w:rPr>
                          <w:t>Nm</w:t>
                        </w:r>
                        <w:r>
                          <w:rPr>
                            <w:rFonts w:ascii="Times New Roman" w:eastAsia="Times New Roman"/>
                            <w:sz w:val="21"/>
                            <w:vertAlign w:val="superscript"/>
                          </w:rPr>
                          <w:t>3</w:t>
                        </w:r>
                      </w:p>
                    </w:tc>
                    <w:tc>
                      <w:tcPr>
                        <w:tcW w:w="1226" w:type="dxa"/>
                      </w:tcPr>
                      <w:p>
                        <w:pPr>
                          <w:pStyle w:val="TableParagraph"/>
                          <w:spacing w:line="252" w:lineRule="exact" w:before="1"/>
                          <w:ind w:left="278" w:right="268"/>
                          <w:rPr>
                            <w:sz w:val="21"/>
                          </w:rPr>
                        </w:pPr>
                        <w:r>
                          <w:rPr>
                            <w:sz w:val="21"/>
                          </w:rPr>
                          <w:t>管道</w:t>
                        </w:r>
                      </w:p>
                    </w:tc>
                    <w:tc>
                      <w:tcPr>
                        <w:tcW w:w="1224" w:type="dxa"/>
                      </w:tcPr>
                      <w:p>
                        <w:pPr>
                          <w:pStyle w:val="TableParagraph"/>
                          <w:spacing w:before="7"/>
                          <w:ind w:left="16" w:right="2"/>
                          <w:rPr>
                            <w:rFonts w:ascii="Times New Roman"/>
                            <w:sz w:val="21"/>
                          </w:rPr>
                        </w:pPr>
                        <w:r>
                          <w:rPr>
                            <w:rFonts w:ascii="Times New Roman"/>
                            <w:sz w:val="21"/>
                          </w:rPr>
                          <w:t>--</w:t>
                        </w:r>
                      </w:p>
                    </w:tc>
                    <w:tc>
                      <w:tcPr>
                        <w:tcW w:w="1066" w:type="dxa"/>
                      </w:tcPr>
                      <w:p>
                        <w:pPr>
                          <w:pStyle w:val="TableParagraph"/>
                          <w:spacing w:before="7"/>
                          <w:ind w:left="99" w:right="85"/>
                          <w:rPr>
                            <w:rFonts w:ascii="Times New Roman"/>
                            <w:sz w:val="21"/>
                          </w:rPr>
                        </w:pPr>
                        <w:r>
                          <w:rPr>
                            <w:rFonts w:ascii="Times New Roman"/>
                            <w:sz w:val="21"/>
                          </w:rPr>
                          <w:t>--</w:t>
                        </w:r>
                      </w:p>
                    </w:tc>
                  </w:tr>
                  <w:tr>
                    <w:trPr>
                      <w:trHeight w:val="273" w:hRule="atLeast"/>
                    </w:trPr>
                    <w:tc>
                      <w:tcPr>
                        <w:tcW w:w="540" w:type="dxa"/>
                      </w:tcPr>
                      <w:p>
                        <w:pPr>
                          <w:pStyle w:val="TableParagraph"/>
                          <w:spacing w:line="252" w:lineRule="exact" w:before="1"/>
                          <w:ind w:left="7"/>
                          <w:rPr>
                            <w:sz w:val="21"/>
                          </w:rPr>
                        </w:pPr>
                        <w:r>
                          <w:rPr>
                            <w:w w:val="100"/>
                            <w:sz w:val="21"/>
                          </w:rPr>
                          <w:t>六</w:t>
                        </w:r>
                      </w:p>
                    </w:tc>
                    <w:tc>
                      <w:tcPr>
                        <w:tcW w:w="1440" w:type="dxa"/>
                      </w:tcPr>
                      <w:p>
                        <w:pPr>
                          <w:pStyle w:val="TableParagraph"/>
                          <w:spacing w:line="252" w:lineRule="exact" w:before="1"/>
                          <w:ind w:left="67" w:right="60"/>
                          <w:rPr>
                            <w:sz w:val="21"/>
                          </w:rPr>
                        </w:pPr>
                        <w:r>
                          <w:rPr>
                            <w:sz w:val="21"/>
                          </w:rPr>
                          <w:t>冷凝物质</w:t>
                        </w:r>
                      </w:p>
                    </w:tc>
                    <w:tc>
                      <w:tcPr>
                        <w:tcW w:w="1754" w:type="dxa"/>
                      </w:tcPr>
                      <w:p>
                        <w:pPr>
                          <w:pStyle w:val="TableParagraph"/>
                          <w:jc w:val="left"/>
                          <w:rPr>
                            <w:rFonts w:ascii="Times New Roman"/>
                            <w:sz w:val="20"/>
                          </w:rPr>
                        </w:pPr>
                      </w:p>
                    </w:tc>
                    <w:tc>
                      <w:tcPr>
                        <w:tcW w:w="1408" w:type="dxa"/>
                      </w:tcPr>
                      <w:p>
                        <w:pPr>
                          <w:pStyle w:val="TableParagraph"/>
                          <w:jc w:val="left"/>
                          <w:rPr>
                            <w:rFonts w:ascii="Times New Roman"/>
                            <w:sz w:val="20"/>
                          </w:rPr>
                        </w:pPr>
                      </w:p>
                    </w:tc>
                    <w:tc>
                      <w:tcPr>
                        <w:tcW w:w="1226" w:type="dxa"/>
                      </w:tcPr>
                      <w:p>
                        <w:pPr>
                          <w:pStyle w:val="TableParagraph"/>
                          <w:jc w:val="left"/>
                          <w:rPr>
                            <w:rFonts w:ascii="Times New Roman"/>
                            <w:sz w:val="20"/>
                          </w:rPr>
                        </w:pPr>
                      </w:p>
                    </w:tc>
                    <w:tc>
                      <w:tcPr>
                        <w:tcW w:w="1224" w:type="dxa"/>
                      </w:tcPr>
                      <w:p>
                        <w:pPr>
                          <w:pStyle w:val="TableParagraph"/>
                          <w:jc w:val="left"/>
                          <w:rPr>
                            <w:rFonts w:ascii="Times New Roman"/>
                            <w:sz w:val="20"/>
                          </w:rPr>
                        </w:pPr>
                      </w:p>
                    </w:tc>
                    <w:tc>
                      <w:tcPr>
                        <w:tcW w:w="1066" w:type="dxa"/>
                      </w:tcPr>
                      <w:p>
                        <w:pPr>
                          <w:pStyle w:val="TableParagraph"/>
                          <w:jc w:val="left"/>
                          <w:rPr>
                            <w:rFonts w:ascii="Times New Roman"/>
                            <w:sz w:val="20"/>
                          </w:rPr>
                        </w:pPr>
                      </w:p>
                    </w:tc>
                  </w:tr>
                  <w:tr>
                    <w:trPr>
                      <w:trHeight w:val="239" w:hRule="atLeast"/>
                    </w:trPr>
                    <w:tc>
                      <w:tcPr>
                        <w:tcW w:w="540" w:type="dxa"/>
                        <w:vMerge w:val="restart"/>
                      </w:tcPr>
                      <w:p>
                        <w:pPr>
                          <w:pStyle w:val="TableParagraph"/>
                          <w:spacing w:before="7"/>
                          <w:jc w:val="left"/>
                          <w:rPr>
                            <w:sz w:val="18"/>
                          </w:rPr>
                        </w:pPr>
                      </w:p>
                      <w:p>
                        <w:pPr>
                          <w:pStyle w:val="TableParagraph"/>
                          <w:ind w:left="7"/>
                          <w:rPr>
                            <w:rFonts w:ascii="Times New Roman"/>
                            <w:sz w:val="21"/>
                          </w:rPr>
                        </w:pPr>
                        <w:r>
                          <w:rPr>
                            <w:rFonts w:ascii="Times New Roman"/>
                            <w:w w:val="100"/>
                            <w:sz w:val="21"/>
                          </w:rPr>
                          <w:t>1</w:t>
                        </w:r>
                      </w:p>
                    </w:tc>
                    <w:tc>
                      <w:tcPr>
                        <w:tcW w:w="1440" w:type="dxa"/>
                        <w:vMerge w:val="restart"/>
                      </w:tcPr>
                      <w:p>
                        <w:pPr>
                          <w:pStyle w:val="TableParagraph"/>
                          <w:spacing w:line="242" w:lineRule="auto" w:before="94"/>
                          <w:ind w:left="297" w:right="-15" w:hanging="293"/>
                          <w:jc w:val="left"/>
                          <w:rPr>
                            <w:sz w:val="21"/>
                          </w:rPr>
                        </w:pPr>
                        <w:r>
                          <w:rPr>
                            <w:spacing w:val="-9"/>
                            <w:sz w:val="21"/>
                          </w:rPr>
                          <w:t>甲醇、丙酮、乙</w:t>
                        </w:r>
                        <w:r>
                          <w:rPr>
                            <w:spacing w:val="-6"/>
                            <w:sz w:val="21"/>
                          </w:rPr>
                          <w:t>腈混合物</w:t>
                        </w:r>
                      </w:p>
                    </w:tc>
                    <w:tc>
                      <w:tcPr>
                        <w:tcW w:w="1754" w:type="dxa"/>
                      </w:tcPr>
                      <w:p>
                        <w:pPr>
                          <w:pStyle w:val="TableParagraph"/>
                          <w:jc w:val="left"/>
                          <w:rPr>
                            <w:rFonts w:ascii="Times New Roman"/>
                            <w:sz w:val="16"/>
                          </w:rPr>
                        </w:pPr>
                      </w:p>
                    </w:tc>
                    <w:tc>
                      <w:tcPr>
                        <w:tcW w:w="1408" w:type="dxa"/>
                        <w:vMerge w:val="restart"/>
                      </w:tcPr>
                      <w:p>
                        <w:pPr>
                          <w:pStyle w:val="TableParagraph"/>
                          <w:spacing w:before="7"/>
                          <w:jc w:val="left"/>
                          <w:rPr>
                            <w:sz w:val="18"/>
                          </w:rPr>
                        </w:pPr>
                      </w:p>
                      <w:p>
                        <w:pPr>
                          <w:pStyle w:val="TableParagraph"/>
                          <w:ind w:left="127" w:right="118"/>
                          <w:rPr>
                            <w:rFonts w:ascii="Times New Roman"/>
                            <w:sz w:val="21"/>
                          </w:rPr>
                        </w:pPr>
                        <w:r>
                          <w:rPr>
                            <w:rFonts w:ascii="Times New Roman"/>
                            <w:sz w:val="21"/>
                          </w:rPr>
                          <w:t>158</w:t>
                        </w:r>
                      </w:p>
                    </w:tc>
                    <w:tc>
                      <w:tcPr>
                        <w:tcW w:w="1226" w:type="dxa"/>
                        <w:vMerge w:val="restart"/>
                      </w:tcPr>
                      <w:p>
                        <w:pPr>
                          <w:pStyle w:val="TableParagraph"/>
                          <w:jc w:val="left"/>
                          <w:rPr>
                            <w:sz w:val="18"/>
                          </w:rPr>
                        </w:pPr>
                      </w:p>
                      <w:p>
                        <w:pPr>
                          <w:pStyle w:val="TableParagraph"/>
                          <w:ind w:left="402"/>
                          <w:jc w:val="left"/>
                          <w:rPr>
                            <w:sz w:val="21"/>
                          </w:rPr>
                        </w:pPr>
                        <w:r>
                          <w:rPr>
                            <w:sz w:val="21"/>
                          </w:rPr>
                          <w:t>罐装</w:t>
                        </w:r>
                      </w:p>
                    </w:tc>
                    <w:tc>
                      <w:tcPr>
                        <w:tcW w:w="1224" w:type="dxa"/>
                      </w:tcPr>
                      <w:p>
                        <w:pPr>
                          <w:pStyle w:val="TableParagraph"/>
                          <w:spacing w:line="220" w:lineRule="exact"/>
                          <w:ind w:left="11" w:right="3"/>
                          <w:rPr>
                            <w:rFonts w:ascii="Times New Roman"/>
                            <w:sz w:val="21"/>
                          </w:rPr>
                        </w:pPr>
                        <w:r>
                          <w:rPr>
                            <w:rFonts w:ascii="Times New Roman"/>
                            <w:sz w:val="21"/>
                          </w:rPr>
                          <w:t>77</w:t>
                        </w:r>
                      </w:p>
                    </w:tc>
                    <w:tc>
                      <w:tcPr>
                        <w:tcW w:w="1066" w:type="dxa"/>
                      </w:tcPr>
                      <w:p>
                        <w:pPr>
                          <w:pStyle w:val="TableParagraph"/>
                          <w:spacing w:line="220" w:lineRule="exact"/>
                          <w:ind w:left="97" w:right="85"/>
                          <w:rPr>
                            <w:rFonts w:ascii="Times New Roman"/>
                            <w:sz w:val="21"/>
                          </w:rPr>
                        </w:pPr>
                        <w:r>
                          <w:rPr>
                            <w:rFonts w:ascii="Times New Roman"/>
                            <w:sz w:val="21"/>
                          </w:rPr>
                          <w:t>2.4</w:t>
                        </w:r>
                      </w:p>
                    </w:tc>
                  </w:tr>
                  <w:tr>
                    <w:trPr>
                      <w:trHeight w:val="242" w:hRule="atLeast"/>
                    </w:trPr>
                    <w:tc>
                      <w:tcPr>
                        <w:tcW w:w="540" w:type="dxa"/>
                        <w:vMerge/>
                        <w:tcBorders>
                          <w:top w:val="nil"/>
                        </w:tcBorders>
                      </w:tcPr>
                      <w:p>
                        <w:pPr>
                          <w:rPr>
                            <w:sz w:val="2"/>
                            <w:szCs w:val="2"/>
                          </w:rPr>
                        </w:pPr>
                      </w:p>
                    </w:tc>
                    <w:tc>
                      <w:tcPr>
                        <w:tcW w:w="1440" w:type="dxa"/>
                        <w:vMerge/>
                        <w:tcBorders>
                          <w:top w:val="nil"/>
                        </w:tcBorders>
                      </w:tcPr>
                      <w:p>
                        <w:pPr>
                          <w:rPr>
                            <w:sz w:val="2"/>
                            <w:szCs w:val="2"/>
                          </w:rPr>
                        </w:pPr>
                      </w:p>
                    </w:tc>
                    <w:tc>
                      <w:tcPr>
                        <w:tcW w:w="1754" w:type="dxa"/>
                      </w:tcPr>
                      <w:p>
                        <w:pPr>
                          <w:pStyle w:val="TableParagraph"/>
                          <w:jc w:val="left"/>
                          <w:rPr>
                            <w:rFonts w:ascii="Times New Roman"/>
                            <w:sz w:val="16"/>
                          </w:rPr>
                        </w:pPr>
                      </w:p>
                    </w:tc>
                    <w:tc>
                      <w:tcPr>
                        <w:tcW w:w="1408" w:type="dxa"/>
                        <w:vMerge/>
                        <w:tcBorders>
                          <w:top w:val="nil"/>
                        </w:tcBorders>
                      </w:tcPr>
                      <w:p>
                        <w:pPr>
                          <w:rPr>
                            <w:sz w:val="2"/>
                            <w:szCs w:val="2"/>
                          </w:rPr>
                        </w:pPr>
                      </w:p>
                    </w:tc>
                    <w:tc>
                      <w:tcPr>
                        <w:tcW w:w="1226" w:type="dxa"/>
                        <w:vMerge/>
                        <w:tcBorders>
                          <w:top w:val="nil"/>
                        </w:tcBorders>
                      </w:tcPr>
                      <w:p>
                        <w:pPr>
                          <w:rPr>
                            <w:sz w:val="2"/>
                            <w:szCs w:val="2"/>
                          </w:rPr>
                        </w:pPr>
                      </w:p>
                    </w:tc>
                    <w:tc>
                      <w:tcPr>
                        <w:tcW w:w="1224" w:type="dxa"/>
                      </w:tcPr>
                      <w:p>
                        <w:pPr>
                          <w:pStyle w:val="TableParagraph"/>
                          <w:spacing w:line="222" w:lineRule="exact"/>
                          <w:ind w:left="11" w:right="3"/>
                          <w:rPr>
                            <w:rFonts w:ascii="Times New Roman"/>
                            <w:sz w:val="21"/>
                          </w:rPr>
                        </w:pPr>
                        <w:r>
                          <w:rPr>
                            <w:rFonts w:ascii="Times New Roman"/>
                            <w:sz w:val="21"/>
                          </w:rPr>
                          <w:t>78</w:t>
                        </w:r>
                      </w:p>
                    </w:tc>
                    <w:tc>
                      <w:tcPr>
                        <w:tcW w:w="1066" w:type="dxa"/>
                      </w:tcPr>
                      <w:p>
                        <w:pPr>
                          <w:pStyle w:val="TableParagraph"/>
                          <w:spacing w:line="222" w:lineRule="exact"/>
                          <w:ind w:left="97" w:right="85"/>
                          <w:rPr>
                            <w:rFonts w:ascii="Times New Roman"/>
                            <w:sz w:val="21"/>
                          </w:rPr>
                        </w:pPr>
                        <w:r>
                          <w:rPr>
                            <w:rFonts w:ascii="Times New Roman"/>
                            <w:sz w:val="21"/>
                          </w:rPr>
                          <w:t>2.5</w:t>
                        </w:r>
                      </w:p>
                    </w:tc>
                  </w:tr>
                  <w:tr>
                    <w:trPr>
                      <w:trHeight w:val="241" w:hRule="atLeast"/>
                    </w:trPr>
                    <w:tc>
                      <w:tcPr>
                        <w:tcW w:w="540" w:type="dxa"/>
                        <w:vMerge/>
                        <w:tcBorders>
                          <w:top w:val="nil"/>
                        </w:tcBorders>
                      </w:tcPr>
                      <w:p>
                        <w:pPr>
                          <w:rPr>
                            <w:sz w:val="2"/>
                            <w:szCs w:val="2"/>
                          </w:rPr>
                        </w:pPr>
                      </w:p>
                    </w:tc>
                    <w:tc>
                      <w:tcPr>
                        <w:tcW w:w="1440" w:type="dxa"/>
                        <w:vMerge/>
                        <w:tcBorders>
                          <w:top w:val="nil"/>
                        </w:tcBorders>
                      </w:tcPr>
                      <w:p>
                        <w:pPr>
                          <w:rPr>
                            <w:sz w:val="2"/>
                            <w:szCs w:val="2"/>
                          </w:rPr>
                        </w:pPr>
                      </w:p>
                    </w:tc>
                    <w:tc>
                      <w:tcPr>
                        <w:tcW w:w="1754" w:type="dxa"/>
                      </w:tcPr>
                      <w:p>
                        <w:pPr>
                          <w:pStyle w:val="TableParagraph"/>
                          <w:jc w:val="left"/>
                          <w:rPr>
                            <w:rFonts w:ascii="Times New Roman"/>
                            <w:sz w:val="16"/>
                          </w:rPr>
                        </w:pPr>
                      </w:p>
                    </w:tc>
                    <w:tc>
                      <w:tcPr>
                        <w:tcW w:w="1408" w:type="dxa"/>
                        <w:vMerge/>
                        <w:tcBorders>
                          <w:top w:val="nil"/>
                        </w:tcBorders>
                      </w:tcPr>
                      <w:p>
                        <w:pPr>
                          <w:rPr>
                            <w:sz w:val="2"/>
                            <w:szCs w:val="2"/>
                          </w:rPr>
                        </w:pPr>
                      </w:p>
                    </w:tc>
                    <w:tc>
                      <w:tcPr>
                        <w:tcW w:w="1226" w:type="dxa"/>
                        <w:vMerge/>
                        <w:tcBorders>
                          <w:top w:val="nil"/>
                        </w:tcBorders>
                      </w:tcPr>
                      <w:p>
                        <w:pPr>
                          <w:rPr>
                            <w:sz w:val="2"/>
                            <w:szCs w:val="2"/>
                          </w:rPr>
                        </w:pPr>
                      </w:p>
                    </w:tc>
                    <w:tc>
                      <w:tcPr>
                        <w:tcW w:w="1224" w:type="dxa"/>
                      </w:tcPr>
                      <w:p>
                        <w:pPr>
                          <w:pStyle w:val="TableParagraph"/>
                          <w:spacing w:line="222" w:lineRule="exact"/>
                          <w:ind w:left="8"/>
                          <w:rPr>
                            <w:rFonts w:ascii="Times New Roman"/>
                            <w:sz w:val="21"/>
                          </w:rPr>
                        </w:pPr>
                        <w:r>
                          <w:rPr>
                            <w:rFonts w:ascii="Times New Roman"/>
                            <w:w w:val="100"/>
                            <w:sz w:val="21"/>
                          </w:rPr>
                          <w:t>3</w:t>
                        </w:r>
                      </w:p>
                    </w:tc>
                    <w:tc>
                      <w:tcPr>
                        <w:tcW w:w="1066" w:type="dxa"/>
                      </w:tcPr>
                      <w:p>
                        <w:pPr>
                          <w:pStyle w:val="TableParagraph"/>
                          <w:spacing w:line="222" w:lineRule="exact"/>
                          <w:ind w:left="97" w:right="85"/>
                          <w:rPr>
                            <w:rFonts w:ascii="Times New Roman"/>
                            <w:sz w:val="21"/>
                          </w:rPr>
                        </w:pPr>
                        <w:r>
                          <w:rPr>
                            <w:rFonts w:ascii="Times New Roman"/>
                            <w:sz w:val="21"/>
                          </w:rPr>
                          <w:t>0.1</w:t>
                        </w:r>
                      </w:p>
                    </w:tc>
                  </w:tr>
                </w:tbl>
                <w:p>
                  <w:pPr>
                    <w:pStyle w:val="BodyText"/>
                  </w:pPr>
                </w:p>
              </w:txbxContent>
            </v:textbox>
            <w10:wrap type="none"/>
          </v:shape>
        </w:pict>
      </w:r>
      <w:r>
        <w:rPr>
          <w:b/>
          <w:sz w:val="28"/>
        </w:rPr>
        <w:t>表 2-3-1 主要原辅材料及产品情况一览表</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37"/>
        </w:rPr>
      </w:pPr>
    </w:p>
    <w:p>
      <w:pPr>
        <w:spacing w:before="0"/>
        <w:ind w:left="0" w:right="98" w:firstLine="0"/>
        <w:jc w:val="right"/>
        <w:rPr>
          <w:sz w:val="21"/>
        </w:rPr>
      </w:pPr>
      <w:r>
        <w:rPr>
          <w:w w:val="100"/>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2"/>
          <w:numId w:val="4"/>
        </w:numPr>
        <w:tabs>
          <w:tab w:pos="1278" w:val="left" w:leader="none"/>
        </w:tabs>
        <w:spacing w:line="240" w:lineRule="auto" w:before="149" w:after="0"/>
        <w:ind w:left="1277" w:right="0" w:hanging="776"/>
        <w:jc w:val="left"/>
        <w:rPr>
          <w:b/>
          <w:sz w:val="28"/>
        </w:rPr>
      </w:pPr>
      <w:r>
        <w:rPr>
          <w:b/>
          <w:sz w:val="28"/>
        </w:rPr>
        <w:t>生产工艺及产污环节</w:t>
      </w:r>
    </w:p>
    <w:p>
      <w:pPr>
        <w:pStyle w:val="BodyText"/>
        <w:spacing w:line="364" w:lineRule="auto" w:before="186"/>
        <w:ind w:left="221" w:right="134" w:firstLine="559"/>
      </w:pPr>
      <w:r>
        <w:rPr>
          <w:spacing w:val="-9"/>
        </w:rPr>
        <w:t>本预案范围内主要有年产 </w:t>
      </w:r>
      <w:r>
        <w:rPr/>
        <w:t>2000t</w:t>
      </w:r>
      <w:r>
        <w:rPr>
          <w:spacing w:val="-22"/>
        </w:rPr>
        <w:t> 乙腈项目、年产 </w:t>
      </w:r>
      <w:r>
        <w:rPr/>
        <w:t>20000t</w:t>
      </w:r>
      <w:r>
        <w:rPr>
          <w:spacing w:val="-15"/>
        </w:rPr>
        <w:t> 多元醇混</w:t>
      </w:r>
      <w:r>
        <w:rPr>
          <w:spacing w:val="-12"/>
          <w:w w:val="100"/>
        </w:rPr>
        <w:t>合酯项目，年处理废乙腈溶剂</w:t>
      </w:r>
      <w:r>
        <w:rPr>
          <w:spacing w:val="-71"/>
        </w:rPr>
        <w:t> </w:t>
      </w:r>
      <w:r>
        <w:rPr>
          <w:w w:val="100"/>
        </w:rPr>
        <w:t>6</w:t>
      </w:r>
      <w:r>
        <w:rPr>
          <w:spacing w:val="-3"/>
          <w:w w:val="100"/>
        </w:rPr>
        <w:t>0</w:t>
      </w:r>
      <w:r>
        <w:rPr>
          <w:w w:val="100"/>
        </w:rPr>
        <w:t>00</w:t>
      </w:r>
      <w:r>
        <w:rPr>
          <w:spacing w:val="-73"/>
        </w:rPr>
        <w:t> </w:t>
      </w:r>
      <w:r>
        <w:rPr>
          <w:spacing w:val="-77"/>
          <w:w w:val="100"/>
        </w:rPr>
        <w:t>吨</w:t>
      </w:r>
      <w:r>
        <w:rPr>
          <w:w w:val="100"/>
        </w:rPr>
        <w:t>（来自</w:t>
      </w:r>
      <w:r>
        <w:rPr>
          <w:spacing w:val="-71"/>
        </w:rPr>
        <w:t> </w:t>
      </w:r>
      <w:r>
        <w:rPr>
          <w:w w:val="100"/>
        </w:rPr>
        <w:t>HW0</w:t>
      </w:r>
      <w:r>
        <w:rPr>
          <w:spacing w:val="-3"/>
          <w:w w:val="100"/>
        </w:rPr>
        <w:t>2</w:t>
      </w:r>
      <w:r>
        <w:rPr>
          <w:spacing w:val="-77"/>
          <w:w w:val="100"/>
        </w:rPr>
        <w:t>、</w:t>
      </w:r>
      <w:r>
        <w:rPr>
          <w:w w:val="100"/>
        </w:rPr>
        <w:t>H</w:t>
      </w:r>
      <w:r>
        <w:rPr>
          <w:spacing w:val="-3"/>
          <w:w w:val="100"/>
        </w:rPr>
        <w:t>W</w:t>
      </w:r>
      <w:r>
        <w:rPr>
          <w:spacing w:val="1"/>
          <w:w w:val="100"/>
        </w:rPr>
        <w:t>0</w:t>
      </w:r>
      <w:r>
        <w:rPr>
          <w:spacing w:val="-2"/>
          <w:w w:val="100"/>
        </w:rPr>
        <w:t>6</w:t>
      </w:r>
      <w:r>
        <w:rPr>
          <w:spacing w:val="-77"/>
          <w:w w:val="100"/>
        </w:rPr>
        <w:t>、</w:t>
      </w:r>
      <w:r>
        <w:rPr>
          <w:w w:val="100"/>
        </w:rPr>
        <w:t>H</w:t>
      </w:r>
      <w:r>
        <w:rPr>
          <w:spacing w:val="-3"/>
          <w:w w:val="100"/>
        </w:rPr>
        <w:t>W</w:t>
      </w:r>
      <w:r>
        <w:rPr>
          <w:spacing w:val="1"/>
          <w:w w:val="100"/>
        </w:rPr>
        <w:t>3</w:t>
      </w:r>
      <w:r>
        <w:rPr>
          <w:spacing w:val="-2"/>
          <w:w w:val="100"/>
        </w:rPr>
        <w:t>8</w:t>
      </w:r>
      <w:r>
        <w:rPr>
          <w:spacing w:val="-77"/>
          <w:w w:val="100"/>
        </w:rPr>
        <w:t>、</w:t>
      </w:r>
      <w:r>
        <w:rPr>
          <w:w w:val="100"/>
        </w:rPr>
        <w:t>H</w:t>
      </w:r>
      <w:r>
        <w:rPr>
          <w:spacing w:val="-3"/>
          <w:w w:val="100"/>
        </w:rPr>
        <w:t>W</w:t>
      </w:r>
      <w:r>
        <w:rPr>
          <w:spacing w:val="1"/>
          <w:w w:val="100"/>
        </w:rPr>
        <w:t>4</w:t>
      </w:r>
      <w:r>
        <w:rPr>
          <w:spacing w:val="-2"/>
          <w:w w:val="100"/>
        </w:rPr>
        <w:t>9</w:t>
      </w:r>
      <w:r>
        <w:rPr>
          <w:spacing w:val="-142"/>
          <w:w w:val="100"/>
        </w:rPr>
        <w:t>）</w:t>
      </w:r>
      <w:r>
        <w:rPr>
          <w:w w:val="100"/>
        </w:rPr>
        <w:t>，</w:t>
      </w:r>
      <w:r>
        <w:rPr>
          <w:spacing w:val="-12"/>
        </w:rPr>
        <w:t>生产乙腈 </w:t>
      </w:r>
      <w:r>
        <w:rPr/>
        <w:t>3000t/a</w:t>
      </w:r>
      <w:r>
        <w:rPr>
          <w:spacing w:val="-15"/>
        </w:rPr>
        <w:t> 项目、</w:t>
      </w:r>
      <w:r>
        <w:rPr/>
        <w:t>500</w:t>
      </w:r>
      <w:r>
        <w:rPr>
          <w:spacing w:val="-29"/>
        </w:rPr>
        <w:t> 吨</w:t>
      </w:r>
      <w:r>
        <w:rPr/>
        <w:t>/</w:t>
      </w:r>
      <w:r>
        <w:rPr>
          <w:spacing w:val="-3"/>
        </w:rPr>
        <w:t>年乙腈灌装项目及配套的辅助工程、</w:t>
      </w:r>
    </w:p>
    <w:p>
      <w:pPr>
        <w:spacing w:after="0" w:line="364" w:lineRule="auto"/>
        <w:sectPr>
          <w:pgSz w:w="11910" w:h="16840"/>
          <w:pgMar w:header="0" w:footer="984" w:top="1580" w:bottom="1180" w:left="1480" w:right="1420"/>
        </w:sectPr>
      </w:pPr>
    </w:p>
    <w:p>
      <w:pPr>
        <w:pStyle w:val="BodyText"/>
        <w:spacing w:line="364" w:lineRule="auto" w:before="102"/>
        <w:ind w:left="780" w:right="4579" w:hanging="560"/>
      </w:pPr>
      <w:r>
        <w:rPr/>
        <w:t>公用工程、贮运工程和环保工程。一、年产 2000t 乙腈项目</w:t>
      </w:r>
    </w:p>
    <w:p>
      <w:pPr>
        <w:pStyle w:val="BodyText"/>
        <w:spacing w:line="358" w:lineRule="exact"/>
        <w:ind w:left="780"/>
      </w:pPr>
      <w:r>
        <w:rPr/>
        <w:t>1、工艺简述</w:t>
      </w:r>
    </w:p>
    <w:p>
      <w:pPr>
        <w:pStyle w:val="BodyText"/>
        <w:spacing w:line="364" w:lineRule="auto" w:before="186"/>
        <w:ind w:left="221" w:right="136" w:firstLine="559"/>
      </w:pPr>
      <w:r>
        <w:rPr/>
        <w:t>醋酸经醋酸打料泵打入醋酸高位槽后自流进醋酸汽化器，液氨经液氨打料泵打入液氨计量罐后靠压力压入氨气汽化器，气相醋酸和氨气经预热器加热后按一定配比混合，连续通入装有催化剂的固定床列管式反应器内，催化剂为氧化铝球，催化剂半年更换一次，由厂家负</w:t>
      </w:r>
      <w:r>
        <w:rPr>
          <w:spacing w:val="-11"/>
        </w:rPr>
        <w:t>责回收利用。在催化剂作用下 </w:t>
      </w:r>
      <w:r>
        <w:rPr/>
        <w:t>390℃~420</w:t>
      </w:r>
      <w:r>
        <w:rPr>
          <w:spacing w:val="-10"/>
        </w:rPr>
        <w:t>℃进行反应，生成以乙腈、乙</w:t>
      </w:r>
      <w:r>
        <w:rPr>
          <w:spacing w:val="-2"/>
        </w:rPr>
        <w:t>酰胺、氨气和水蒸汽为主要成分的混合气体，经冷凝器冷凝冷却后流</w:t>
      </w:r>
      <w:r>
        <w:rPr/>
        <w:t>入粗品乙腈中间罐储存。粗品乙腈经脱氨系统脱氨，绝大部分氨气经脱氨塔吸收制成氨水，剩下的粗乙腈混合液首先进入脱水精馏塔，当</w:t>
      </w:r>
      <w:r>
        <w:rPr>
          <w:spacing w:val="-3"/>
        </w:rPr>
        <w:t>塔釜达到 </w:t>
      </w:r>
      <w:r>
        <w:rPr/>
        <w:t>100</w:t>
      </w:r>
      <w:r>
        <w:rPr>
          <w:spacing w:val="-5"/>
        </w:rPr>
        <w:t>℃时，脱去水和重组分 </w:t>
      </w:r>
      <w:r>
        <w:rPr/>
        <w:t>W1-1</w:t>
      </w:r>
      <w:r>
        <w:rPr>
          <w:spacing w:val="-3"/>
        </w:rPr>
        <w:t>，大部分乙酰胺随水脱出， </w:t>
      </w:r>
      <w:r>
        <w:rPr/>
        <w:t>经加碱浓缩处理制成乙酸钠；塔顶采出乙腈和水的共沸组分，水中溶解少量氨，经冷凝器进入一塔中间罐，再经打料泵一部分打回一塔， </w:t>
      </w:r>
      <w:r>
        <w:rPr>
          <w:spacing w:val="-8"/>
        </w:rPr>
        <w:t>进行一塔回流，一部分打入成品精馏塔；二塔在 </w:t>
      </w:r>
      <w:r>
        <w:rPr/>
        <w:t>0.3~0.35Mpa</w:t>
      </w:r>
      <w:r>
        <w:rPr>
          <w:spacing w:val="-15"/>
        </w:rPr>
        <w:t> 条件下， </w:t>
      </w:r>
      <w:r>
        <w:rPr>
          <w:spacing w:val="-3"/>
        </w:rPr>
        <w:t>塔顶采出乙腈和水的共沸组分，水中溶解少量氨，经冷凝器流入二塔</w:t>
      </w:r>
      <w:r>
        <w:rPr>
          <w:spacing w:val="-4"/>
        </w:rPr>
        <w:t>回流罐中；精馏塔的塔顶冷凝器尾气中存在少量氨气和乙腈 </w:t>
      </w:r>
      <w:r>
        <w:rPr/>
        <w:t>G1-1，先经过泠凝回收装置回收其中的乙腈，然后经管线接入氨气吸收装置， 制成氨水；二塔的中上部有一个侧线采出，将部分乙腈和水的共沸液</w:t>
      </w:r>
      <w:r>
        <w:rPr>
          <w:spacing w:val="-22"/>
        </w:rPr>
        <w:t>采入一塔，从而进一步达到脱水的目的；当塔釜温度条件合格</w:t>
      </w:r>
      <w:r>
        <w:rPr/>
        <w:t>（130~135</w:t>
      </w:r>
    </w:p>
    <w:p>
      <w:pPr>
        <w:pStyle w:val="BodyText"/>
        <w:spacing w:line="364" w:lineRule="auto"/>
        <w:ind w:left="221" w:right="278"/>
        <w:jc w:val="both"/>
      </w:pPr>
      <w:r>
        <w:rPr/>
        <w:t>℃）后，根据取样分析合格后，从塔下部采出合格成品乙腈，经冷凝冷却器进入乙腈成品罐准备进行分装或灌装，此后根据各进料回流配比进行调控各线流量，达到连续生产。</w:t>
      </w:r>
    </w:p>
    <w:p>
      <w:pPr>
        <w:pStyle w:val="BodyText"/>
        <w:spacing w:line="357" w:lineRule="exact"/>
        <w:ind w:left="780"/>
      </w:pPr>
      <w:r>
        <w:rPr/>
        <w:t>2、工艺流程图</w:t>
      </w:r>
    </w:p>
    <w:p>
      <w:pPr>
        <w:spacing w:after="0" w:line="357" w:lineRule="exact"/>
        <w:sectPr>
          <w:pgSz w:w="11910" w:h="16840"/>
          <w:pgMar w:header="0" w:footer="984" w:top="1580" w:bottom="1180" w:left="1480" w:right="1420"/>
        </w:sectPr>
      </w:pPr>
    </w:p>
    <w:p>
      <w:pPr>
        <w:pStyle w:val="BodyText"/>
        <w:spacing w:before="4" w:after="1"/>
        <w:rPr>
          <w:sz w:val="22"/>
        </w:rPr>
      </w:pPr>
    </w:p>
    <w:p>
      <w:pPr>
        <w:pStyle w:val="BodyText"/>
        <w:ind w:left="1433"/>
        <w:rPr>
          <w:sz w:val="20"/>
        </w:rPr>
      </w:pPr>
      <w:r>
        <w:rPr>
          <w:sz w:val="20"/>
        </w:rPr>
        <w:drawing>
          <wp:inline distT="0" distB="0" distL="0" distR="0">
            <wp:extent cx="4073742" cy="455733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073742" cy="4557331"/>
                    </a:xfrm>
                    <a:prstGeom prst="rect">
                      <a:avLst/>
                    </a:prstGeom>
                  </pic:spPr>
                </pic:pic>
              </a:graphicData>
            </a:graphic>
          </wp:inline>
        </w:drawing>
      </w:r>
      <w:r>
        <w:rPr>
          <w:sz w:val="20"/>
        </w:rPr>
      </w:r>
    </w:p>
    <w:p>
      <w:pPr>
        <w:spacing w:line="344" w:lineRule="exact" w:before="0"/>
        <w:ind w:left="2187" w:right="0" w:firstLine="0"/>
        <w:jc w:val="left"/>
        <w:rPr>
          <w:b/>
          <w:sz w:val="28"/>
        </w:rPr>
      </w:pPr>
      <w:r>
        <w:rPr>
          <w:b/>
          <w:sz w:val="28"/>
        </w:rPr>
        <w:t>图 2-3-1 项目乙腈生产工艺流程简图</w:t>
      </w:r>
    </w:p>
    <w:p>
      <w:pPr>
        <w:pStyle w:val="BodyText"/>
        <w:spacing w:line="364" w:lineRule="auto" w:before="1"/>
        <w:ind w:left="780" w:right="3741"/>
      </w:pPr>
      <w:r>
        <w:rPr>
          <w:spacing w:val="-14"/>
        </w:rPr>
        <w:t>二、年产 </w:t>
      </w:r>
      <w:r>
        <w:rPr/>
        <w:t>20000</w:t>
      </w:r>
      <w:r>
        <w:rPr>
          <w:spacing w:val="-12"/>
        </w:rPr>
        <w:t> 吨多元醇混合酯项目</w:t>
      </w:r>
      <w:r>
        <w:rPr/>
        <w:t>1</w:t>
      </w:r>
      <w:r>
        <w:rPr>
          <w:spacing w:val="-1"/>
        </w:rPr>
        <w:t>、工艺流程简述</w:t>
      </w:r>
    </w:p>
    <w:p>
      <w:pPr>
        <w:pStyle w:val="ListParagraph"/>
        <w:numPr>
          <w:ilvl w:val="3"/>
          <w:numId w:val="4"/>
        </w:numPr>
        <w:tabs>
          <w:tab w:pos="1483" w:val="left" w:leader="none"/>
        </w:tabs>
        <w:spacing w:line="358" w:lineRule="exact" w:before="0" w:after="0"/>
        <w:ind w:left="1482" w:right="0" w:hanging="703"/>
        <w:jc w:val="left"/>
        <w:rPr>
          <w:sz w:val="28"/>
        </w:rPr>
      </w:pPr>
      <w:r>
        <w:rPr>
          <w:sz w:val="28"/>
        </w:rPr>
        <w:t>原理</w:t>
      </w:r>
    </w:p>
    <w:p>
      <w:pPr>
        <w:pStyle w:val="BodyText"/>
        <w:spacing w:line="364" w:lineRule="auto" w:before="186"/>
        <w:ind w:left="221" w:right="276" w:firstLine="559"/>
        <w:jc w:val="both"/>
      </w:pPr>
      <w:r>
        <w:rPr>
          <w:spacing w:val="-4"/>
        </w:rPr>
        <w:t>本生产工艺是分别以乙二醇</w:t>
      </w:r>
      <w:r>
        <w:rPr/>
        <w:t>（</w:t>
      </w:r>
      <w:r>
        <w:rPr>
          <w:spacing w:val="-2"/>
        </w:rPr>
        <w:t>丙二醇</w:t>
      </w:r>
      <w:r>
        <w:rPr>
          <w:spacing w:val="-142"/>
        </w:rPr>
        <w:t>）</w:t>
      </w:r>
      <w:r>
        <w:rPr>
          <w:spacing w:val="-7"/>
        </w:rPr>
        <w:t>、醋酸为原料，在催化剂作</w:t>
      </w:r>
      <w:r>
        <w:rPr/>
        <w:t>用下，采用低温反应，后经蒸馏、精馏得到多元醇二元酯产品。主要</w:t>
      </w:r>
      <w:r>
        <w:rPr>
          <w:spacing w:val="-2"/>
        </w:rPr>
        <w:t>化学反应式如下：</w:t>
      </w:r>
    </w:p>
    <w:p>
      <w:pPr>
        <w:tabs>
          <w:tab w:pos="4160" w:val="left" w:leader="none"/>
        </w:tabs>
        <w:spacing w:before="111"/>
        <w:ind w:left="392" w:right="0" w:firstLine="0"/>
        <w:jc w:val="center"/>
        <w:rPr>
          <w:rFonts w:ascii="Times New Roman"/>
          <w:sz w:val="24"/>
        </w:rPr>
      </w:pPr>
      <w:r>
        <w:rPr/>
        <w:pict>
          <v:shape style="position:absolute;margin-left:280.079987pt;margin-top:11.064002pt;width:36.4pt;height:6pt;mso-position-horizontal-relative:page;mso-position-vertical-relative:paragraph;z-index:-260850688" coordorigin="5602,221" coordsize="728,120" path="m6209,221l6209,341,6314,288,6228,288,6233,286,6235,281,6233,276,6228,274,6314,274,6209,221xm6209,274l5609,274,5602,276,5602,286,5609,288,6209,288,6209,274xm6314,274l6228,274,6233,276,6235,281,6233,286,6228,288,6314,288,6329,281,6314,274xe" filled="true" fillcolor="#000000" stroked="false">
            <v:path arrowok="t"/>
            <v:fill type="solid"/>
            <w10:wrap type="none"/>
          </v:shape>
        </w:pict>
      </w:r>
      <w:r>
        <w:rPr>
          <w:rFonts w:ascii="Times New Roman"/>
          <w:sz w:val="24"/>
        </w:rPr>
        <w:t>HOCH</w:t>
      </w:r>
      <w:r>
        <w:rPr>
          <w:rFonts w:ascii="Times New Roman"/>
          <w:sz w:val="24"/>
          <w:vertAlign w:val="subscript"/>
        </w:rPr>
        <w:t>2</w:t>
      </w:r>
      <w:r>
        <w:rPr>
          <w:rFonts w:ascii="Times New Roman"/>
          <w:sz w:val="24"/>
          <w:vertAlign w:val="baseline"/>
        </w:rPr>
        <w:t>CH</w:t>
      </w:r>
      <w:r>
        <w:rPr>
          <w:rFonts w:ascii="Times New Roman"/>
          <w:sz w:val="24"/>
          <w:vertAlign w:val="subscript"/>
        </w:rPr>
        <w:t>2</w:t>
      </w:r>
      <w:r>
        <w:rPr>
          <w:rFonts w:ascii="Times New Roman"/>
          <w:sz w:val="24"/>
          <w:vertAlign w:val="baseline"/>
        </w:rPr>
        <w:t>OH</w:t>
      </w:r>
      <w:r>
        <w:rPr>
          <w:rFonts w:ascii="Times New Roman"/>
          <w:spacing w:val="-5"/>
          <w:sz w:val="24"/>
          <w:vertAlign w:val="baseline"/>
        </w:rPr>
        <w:t> </w:t>
      </w:r>
      <w:r>
        <w:rPr>
          <w:rFonts w:ascii="Times New Roman"/>
          <w:sz w:val="24"/>
          <w:vertAlign w:val="baseline"/>
        </w:rPr>
        <w:t>+CH</w:t>
      </w:r>
      <w:r>
        <w:rPr>
          <w:rFonts w:ascii="Times New Roman"/>
          <w:sz w:val="24"/>
          <w:vertAlign w:val="subscript"/>
        </w:rPr>
        <w:t>3</w:t>
      </w:r>
      <w:r>
        <w:rPr>
          <w:rFonts w:ascii="Times New Roman"/>
          <w:sz w:val="24"/>
          <w:vertAlign w:val="baseline"/>
        </w:rPr>
        <w:t>COOH</w:t>
        <w:tab/>
        <w:t>H</w:t>
      </w:r>
      <w:r>
        <w:rPr>
          <w:rFonts w:ascii="Times New Roman"/>
          <w:sz w:val="24"/>
          <w:vertAlign w:val="subscript"/>
        </w:rPr>
        <w:t>3</w:t>
      </w:r>
      <w:r>
        <w:rPr>
          <w:rFonts w:ascii="Times New Roman"/>
          <w:sz w:val="24"/>
          <w:vertAlign w:val="baseline"/>
        </w:rPr>
        <w:t>CCOOCH</w:t>
      </w:r>
      <w:r>
        <w:rPr>
          <w:rFonts w:ascii="Times New Roman"/>
          <w:sz w:val="24"/>
          <w:vertAlign w:val="subscript"/>
        </w:rPr>
        <w:t>2</w:t>
      </w:r>
      <w:r>
        <w:rPr>
          <w:rFonts w:ascii="Times New Roman"/>
          <w:sz w:val="24"/>
          <w:vertAlign w:val="baseline"/>
        </w:rPr>
        <w:t>CH</w:t>
      </w:r>
      <w:r>
        <w:rPr>
          <w:rFonts w:ascii="Times New Roman"/>
          <w:sz w:val="24"/>
          <w:vertAlign w:val="subscript"/>
        </w:rPr>
        <w:t>2</w:t>
      </w:r>
      <w:r>
        <w:rPr>
          <w:rFonts w:ascii="Times New Roman"/>
          <w:sz w:val="24"/>
          <w:vertAlign w:val="baseline"/>
        </w:rPr>
        <w:t>OOCCH</w:t>
      </w:r>
      <w:r>
        <w:rPr>
          <w:rFonts w:ascii="Times New Roman"/>
          <w:sz w:val="24"/>
          <w:vertAlign w:val="subscript"/>
        </w:rPr>
        <w:t>3</w:t>
      </w:r>
      <w:r>
        <w:rPr>
          <w:rFonts w:ascii="宋体"/>
          <w:sz w:val="24"/>
          <w:vertAlign w:val="baseline"/>
        </w:rPr>
        <w:t>+</w:t>
      </w:r>
      <w:r>
        <w:rPr>
          <w:rFonts w:ascii="Times New Roman"/>
          <w:sz w:val="24"/>
          <w:vertAlign w:val="baseline"/>
        </w:rPr>
        <w:t>H</w:t>
      </w:r>
      <w:r>
        <w:rPr>
          <w:rFonts w:ascii="Times New Roman"/>
          <w:sz w:val="24"/>
          <w:vertAlign w:val="subscript"/>
        </w:rPr>
        <w:t>2</w:t>
      </w:r>
      <w:r>
        <w:rPr>
          <w:rFonts w:ascii="Times New Roman"/>
          <w:sz w:val="24"/>
          <w:vertAlign w:val="baseline"/>
        </w:rPr>
        <w:t>O</w:t>
      </w:r>
    </w:p>
    <w:p>
      <w:pPr>
        <w:tabs>
          <w:tab w:pos="2765" w:val="left" w:leader="none"/>
          <w:tab w:pos="3259" w:val="left" w:leader="none"/>
          <w:tab w:pos="5300" w:val="left" w:leader="none"/>
          <w:tab w:pos="7580" w:val="left" w:leader="none"/>
        </w:tabs>
        <w:spacing w:before="4"/>
        <w:ind w:left="1565" w:right="0" w:firstLine="0"/>
        <w:jc w:val="left"/>
        <w:rPr>
          <w:rFonts w:ascii="宋体" w:eastAsia="宋体" w:hint="eastAsia"/>
          <w:sz w:val="24"/>
        </w:rPr>
      </w:pPr>
      <w:r>
        <w:rPr/>
        <w:pict>
          <v:shape style="position:absolute;margin-left:280.079987pt;margin-top:5.233996pt;width:36.4pt;height:6pt;mso-position-horizontal-relative:page;mso-position-vertical-relative:paragraph;z-index:-260849664" coordorigin="5602,105" coordsize="728,120" path="m6209,105l6209,225,6314,172,6228,172,6235,169,6238,165,6235,157,6228,155,6310,155,6209,105xm6209,155l5609,155,5604,157,5602,165,5604,169,5609,172,6209,172,6209,155xm6310,155l6228,155,6235,157,6238,165,6235,169,6228,172,6314,172,6329,165,6310,155xe" filled="true" fillcolor="#000000" stroked="false">
            <v:path arrowok="t"/>
            <v:fill type="solid"/>
            <w10:wrap type="none"/>
          </v:shape>
        </w:pict>
      </w:r>
      <w:r>
        <w:rPr>
          <w:rFonts w:ascii="宋体" w:eastAsia="宋体" w:hint="eastAsia"/>
          <w:sz w:val="24"/>
        </w:rPr>
        <w:t>乙二醇</w:t>
        <w:tab/>
      </w:r>
      <w:r>
        <w:rPr>
          <w:rFonts w:ascii="Times New Roman" w:eastAsia="Times New Roman"/>
          <w:sz w:val="24"/>
        </w:rPr>
        <w:t>+</w:t>
        <w:tab/>
      </w:r>
      <w:r>
        <w:rPr>
          <w:rFonts w:ascii="宋体" w:eastAsia="宋体" w:hint="eastAsia"/>
          <w:sz w:val="24"/>
        </w:rPr>
        <w:t>醋酸</w:t>
        <w:tab/>
        <w:t>乙二醇二乙酸酯</w:t>
        <w:tab/>
      </w:r>
      <w:r>
        <w:rPr>
          <w:rFonts w:ascii="Times New Roman" w:eastAsia="Times New Roman"/>
          <w:sz w:val="24"/>
        </w:rPr>
        <w:t>+</w:t>
      </w:r>
      <w:r>
        <w:rPr>
          <w:rFonts w:ascii="Times New Roman" w:eastAsia="Times New Roman"/>
          <w:spacing w:val="59"/>
          <w:sz w:val="24"/>
        </w:rPr>
        <w:t> </w:t>
      </w:r>
      <w:r>
        <w:rPr>
          <w:rFonts w:ascii="宋体" w:eastAsia="宋体" w:hint="eastAsia"/>
          <w:sz w:val="24"/>
        </w:rPr>
        <w:t>水</w:t>
      </w:r>
    </w:p>
    <w:p>
      <w:pPr>
        <w:tabs>
          <w:tab w:pos="3755" w:val="left" w:leader="none"/>
        </w:tabs>
        <w:spacing w:before="142"/>
        <w:ind w:left="294" w:right="0" w:firstLine="0"/>
        <w:jc w:val="center"/>
        <w:rPr>
          <w:rFonts w:ascii="Times New Roman"/>
          <w:sz w:val="24"/>
        </w:rPr>
      </w:pPr>
      <w:r>
        <w:rPr/>
        <w:pict>
          <v:shape style="position:absolute;margin-left:259.320007pt;margin-top:11.173993pt;width:36.4pt;height:6pt;mso-position-horizontal-relative:page;mso-position-vertical-relative:paragraph;z-index:-260852736" coordorigin="5186,223" coordsize="728,120" path="m5794,223l5794,343,5899,291,5813,291,5820,288,5822,283,5820,279,5813,276,5899,276,5794,223xm5794,276l5194,276,5189,279,5186,283,5189,288,5194,291,5794,291,5794,276xm5899,276l5813,276,5820,279,5822,283,5820,288,5813,291,5899,291,5914,283,5899,276xe" filled="true" fillcolor="#000000" stroked="false">
            <v:path arrowok="t"/>
            <v:fill type="solid"/>
            <w10:wrap type="none"/>
          </v:shape>
        </w:pict>
      </w:r>
      <w:r>
        <w:rPr>
          <w:rFonts w:ascii="Times New Roman"/>
          <w:sz w:val="24"/>
        </w:rPr>
        <w:t>(CH</w:t>
      </w:r>
      <w:r>
        <w:rPr>
          <w:rFonts w:ascii="Times New Roman"/>
          <w:sz w:val="24"/>
          <w:vertAlign w:val="subscript"/>
        </w:rPr>
        <w:t>3</w:t>
      </w:r>
      <w:r>
        <w:rPr>
          <w:rFonts w:ascii="Times New Roman"/>
          <w:sz w:val="24"/>
          <w:vertAlign w:val="baseline"/>
        </w:rPr>
        <w:t>)</w:t>
      </w:r>
      <w:r>
        <w:rPr>
          <w:rFonts w:ascii="Times New Roman"/>
          <w:sz w:val="24"/>
          <w:vertAlign w:val="subscript"/>
        </w:rPr>
        <w:t>2</w:t>
      </w:r>
      <w:r>
        <w:rPr>
          <w:rFonts w:ascii="Times New Roman"/>
          <w:sz w:val="24"/>
          <w:vertAlign w:val="baseline"/>
        </w:rPr>
        <w:t>CHOH</w:t>
      </w:r>
      <w:r>
        <w:rPr>
          <w:rFonts w:ascii="Times New Roman"/>
          <w:spacing w:val="-4"/>
          <w:sz w:val="24"/>
          <w:vertAlign w:val="baseline"/>
        </w:rPr>
        <w:t> </w:t>
      </w:r>
      <w:r>
        <w:rPr>
          <w:rFonts w:ascii="Times New Roman"/>
          <w:sz w:val="24"/>
          <w:vertAlign w:val="baseline"/>
        </w:rPr>
        <w:t>+CH</w:t>
      </w:r>
      <w:r>
        <w:rPr>
          <w:rFonts w:ascii="Times New Roman"/>
          <w:sz w:val="24"/>
          <w:vertAlign w:val="subscript"/>
        </w:rPr>
        <w:t>3</w:t>
      </w:r>
      <w:r>
        <w:rPr>
          <w:rFonts w:ascii="Times New Roman"/>
          <w:sz w:val="24"/>
          <w:vertAlign w:val="baseline"/>
        </w:rPr>
        <w:t>COOH</w:t>
        <w:tab/>
        <w:t>CH</w:t>
      </w:r>
      <w:r>
        <w:rPr>
          <w:rFonts w:ascii="Times New Roman"/>
          <w:sz w:val="24"/>
          <w:vertAlign w:val="subscript"/>
        </w:rPr>
        <w:t>3</w:t>
      </w:r>
      <w:r>
        <w:rPr>
          <w:rFonts w:ascii="Times New Roman"/>
          <w:sz w:val="24"/>
          <w:vertAlign w:val="baseline"/>
        </w:rPr>
        <w:t>CH(OOCCH</w:t>
      </w:r>
      <w:r>
        <w:rPr>
          <w:rFonts w:ascii="Times New Roman"/>
          <w:sz w:val="24"/>
          <w:vertAlign w:val="subscript"/>
        </w:rPr>
        <w:t>3</w:t>
      </w:r>
      <w:r>
        <w:rPr>
          <w:rFonts w:ascii="Times New Roman"/>
          <w:sz w:val="24"/>
          <w:vertAlign w:val="baseline"/>
        </w:rPr>
        <w:t>)CH</w:t>
      </w:r>
      <w:r>
        <w:rPr>
          <w:rFonts w:ascii="Times New Roman"/>
          <w:sz w:val="24"/>
          <w:vertAlign w:val="subscript"/>
        </w:rPr>
        <w:t>2</w:t>
      </w:r>
      <w:r>
        <w:rPr>
          <w:rFonts w:ascii="Times New Roman"/>
          <w:sz w:val="24"/>
          <w:vertAlign w:val="baseline"/>
        </w:rPr>
        <w:t>OOCCH</w:t>
      </w:r>
      <w:r>
        <w:rPr>
          <w:rFonts w:ascii="Times New Roman"/>
          <w:sz w:val="24"/>
          <w:vertAlign w:val="subscript"/>
        </w:rPr>
        <w:t>3</w:t>
      </w:r>
      <w:r>
        <w:rPr>
          <w:rFonts w:ascii="宋体"/>
          <w:sz w:val="24"/>
          <w:vertAlign w:val="baseline"/>
        </w:rPr>
        <w:t>+</w:t>
      </w:r>
      <w:r>
        <w:rPr>
          <w:rFonts w:ascii="Times New Roman"/>
          <w:sz w:val="24"/>
          <w:vertAlign w:val="baseline"/>
        </w:rPr>
        <w:t>H</w:t>
      </w:r>
      <w:r>
        <w:rPr>
          <w:rFonts w:ascii="Times New Roman"/>
          <w:sz w:val="24"/>
          <w:vertAlign w:val="subscript"/>
        </w:rPr>
        <w:t>2</w:t>
      </w:r>
      <w:r>
        <w:rPr>
          <w:rFonts w:ascii="Times New Roman"/>
          <w:sz w:val="24"/>
          <w:vertAlign w:val="baseline"/>
        </w:rPr>
        <w:t>O</w:t>
      </w:r>
    </w:p>
    <w:p>
      <w:pPr>
        <w:tabs>
          <w:tab w:pos="1191" w:val="left" w:leader="none"/>
          <w:tab w:pos="1685" w:val="left" w:leader="none"/>
          <w:tab w:pos="3726" w:val="left" w:leader="none"/>
          <w:tab w:pos="5886" w:val="left" w:leader="none"/>
        </w:tabs>
        <w:spacing w:before="4"/>
        <w:ind w:left="111" w:right="0" w:firstLine="0"/>
        <w:jc w:val="center"/>
        <w:rPr>
          <w:rFonts w:ascii="宋体" w:eastAsia="宋体" w:hint="eastAsia"/>
          <w:sz w:val="24"/>
        </w:rPr>
      </w:pPr>
      <w:r>
        <w:rPr/>
        <w:pict>
          <v:shape style="position:absolute;margin-left:261.720001pt;margin-top:4.394003pt;width:36.4pt;height:6pt;mso-position-horizontal-relative:page;mso-position-vertical-relative:paragraph;z-index:-260851712" coordorigin="5234,88" coordsize="728,120" path="m5842,88l5842,208,5942,157,5861,157,5866,155,5868,148,5866,143,5861,141,5947,141,5842,88xm5842,141l5242,141,5237,143,5234,148,5237,155,5242,157,5842,157,5842,141xm5947,141l5861,141,5866,143,5868,148,5866,155,5861,157,5942,157,5962,148,5947,141xe" filled="true" fillcolor="#000000" stroked="false">
            <v:path arrowok="t"/>
            <v:fill type="solid"/>
            <w10:wrap type="none"/>
          </v:shape>
        </w:pict>
      </w:r>
      <w:r>
        <w:rPr>
          <w:rFonts w:ascii="宋体" w:eastAsia="宋体" w:hint="eastAsia"/>
          <w:sz w:val="24"/>
        </w:rPr>
        <w:t>丙二醇</w:t>
        <w:tab/>
      </w:r>
      <w:r>
        <w:rPr>
          <w:rFonts w:ascii="Times New Roman" w:eastAsia="Times New Roman"/>
          <w:sz w:val="24"/>
        </w:rPr>
        <w:t>+</w:t>
        <w:tab/>
      </w:r>
      <w:r>
        <w:rPr>
          <w:rFonts w:ascii="宋体" w:eastAsia="宋体" w:hint="eastAsia"/>
          <w:sz w:val="24"/>
        </w:rPr>
        <w:t>醋酸</w:t>
        <w:tab/>
        <w:t>丙二醇二乙酸酯</w:t>
        <w:tab/>
      </w:r>
      <w:r>
        <w:rPr>
          <w:rFonts w:ascii="Times New Roman" w:eastAsia="Times New Roman"/>
          <w:sz w:val="24"/>
        </w:rPr>
        <w:t>+</w:t>
      </w:r>
      <w:r>
        <w:rPr>
          <w:rFonts w:ascii="Times New Roman" w:eastAsia="Times New Roman"/>
          <w:spacing w:val="59"/>
          <w:sz w:val="24"/>
        </w:rPr>
        <w:t> </w:t>
      </w:r>
      <w:r>
        <w:rPr>
          <w:rFonts w:ascii="宋体" w:eastAsia="宋体" w:hint="eastAsia"/>
          <w:sz w:val="24"/>
        </w:rPr>
        <w:t>水</w:t>
      </w:r>
    </w:p>
    <w:p>
      <w:pPr>
        <w:pStyle w:val="BodyText"/>
        <w:rPr>
          <w:rFonts w:ascii="宋体"/>
          <w:sz w:val="20"/>
        </w:rPr>
      </w:pPr>
    </w:p>
    <w:p>
      <w:pPr>
        <w:pStyle w:val="BodyText"/>
        <w:spacing w:before="10"/>
        <w:rPr>
          <w:rFonts w:ascii="宋体"/>
        </w:rPr>
      </w:pPr>
    </w:p>
    <w:p>
      <w:pPr>
        <w:pStyle w:val="ListParagraph"/>
        <w:numPr>
          <w:ilvl w:val="3"/>
          <w:numId w:val="4"/>
        </w:numPr>
        <w:tabs>
          <w:tab w:pos="1483" w:val="left" w:leader="none"/>
        </w:tabs>
        <w:spacing w:line="240" w:lineRule="auto" w:before="62" w:after="0"/>
        <w:ind w:left="1482" w:right="0" w:hanging="703"/>
        <w:jc w:val="left"/>
        <w:rPr>
          <w:sz w:val="28"/>
        </w:rPr>
      </w:pPr>
      <w:r>
        <w:rPr>
          <w:spacing w:val="-1"/>
          <w:sz w:val="28"/>
        </w:rPr>
        <w:t>流程简述</w:t>
      </w:r>
    </w:p>
    <w:p>
      <w:pPr>
        <w:spacing w:after="0" w:line="240" w:lineRule="auto"/>
        <w:jc w:val="left"/>
        <w:rPr>
          <w:sz w:val="28"/>
        </w:rPr>
        <w:sectPr>
          <w:pgSz w:w="11910" w:h="16840"/>
          <w:pgMar w:header="0" w:footer="984" w:top="1580" w:bottom="1180" w:left="1480" w:right="1420"/>
        </w:sectPr>
      </w:pPr>
    </w:p>
    <w:p>
      <w:pPr>
        <w:pStyle w:val="BodyText"/>
        <w:spacing w:before="102"/>
        <w:ind w:left="780"/>
        <w:jc w:val="both"/>
      </w:pPr>
      <w:r>
        <w:rPr/>
        <w:t>将醋酸、丙二醇和乙二醇按 4:1:1 摩尔比例打入酯化釜进行混合</w:t>
      </w:r>
    </w:p>
    <w:p>
      <w:pPr>
        <w:pStyle w:val="BodyText"/>
        <w:spacing w:line="364" w:lineRule="auto" w:before="186"/>
        <w:ind w:left="221" w:right="276"/>
        <w:jc w:val="both"/>
      </w:pPr>
      <w:r>
        <w:rPr>
          <w:w w:val="100"/>
        </w:rPr>
        <w:t>（</w:t>
      </w:r>
      <w:r>
        <w:rPr>
          <w:spacing w:val="-1"/>
          <w:w w:val="100"/>
        </w:rPr>
        <w:t>醋酸过量</w:t>
      </w:r>
      <w:r>
        <w:rPr>
          <w:spacing w:val="-142"/>
          <w:w w:val="100"/>
        </w:rPr>
        <w:t>）</w:t>
      </w:r>
      <w:r>
        <w:rPr>
          <w:spacing w:val="-3"/>
          <w:w w:val="100"/>
        </w:rPr>
        <w:t>，然后加入催化剂开始搅拌升温，逐步升温至</w:t>
      </w:r>
      <w:r>
        <w:rPr>
          <w:spacing w:val="-3"/>
        </w:rPr>
        <w:t> </w:t>
      </w:r>
      <w:r>
        <w:rPr>
          <w:spacing w:val="1"/>
          <w:w w:val="100"/>
        </w:rPr>
        <w:t>1</w:t>
      </w:r>
      <w:r>
        <w:rPr>
          <w:w w:val="100"/>
        </w:rPr>
        <w:t>6</w:t>
      </w:r>
      <w:r>
        <w:rPr>
          <w:spacing w:val="-3"/>
          <w:w w:val="100"/>
        </w:rPr>
        <w:t>0</w:t>
      </w:r>
      <w:r>
        <w:rPr>
          <w:w w:val="100"/>
        </w:rPr>
        <w:t>℃，进</w:t>
      </w:r>
      <w:r>
        <w:rPr>
          <w:spacing w:val="-2"/>
          <w:position w:val="2"/>
        </w:rPr>
        <w:t>行酯化反应。导热油炉加热过程中会产生废气</w:t>
      </w:r>
      <w:r>
        <w:rPr>
          <w:position w:val="2"/>
        </w:rPr>
        <w:t>G</w:t>
      </w:r>
      <w:r>
        <w:rPr>
          <w:sz w:val="14"/>
        </w:rPr>
        <w:t>2-1</w:t>
      </w:r>
      <w:r>
        <w:rPr>
          <w:spacing w:val="-5"/>
          <w:position w:val="2"/>
        </w:rPr>
        <w:t>。反应过程中由于反</w:t>
      </w:r>
      <w:r>
        <w:rPr>
          <w:spacing w:val="-1"/>
        </w:rPr>
        <w:t>应温度较高，生成的水及少量醋酸不断经过酯化釜上端的塔蒸出，经</w:t>
      </w:r>
      <w:r>
        <w:rPr>
          <w:spacing w:val="-7"/>
          <w:w w:val="100"/>
        </w:rPr>
        <w:t>冷凝后收集进入污水处理系统</w:t>
      </w:r>
      <w:r>
        <w:rPr>
          <w:w w:val="100"/>
        </w:rPr>
        <w:t>（</w:t>
      </w:r>
      <w:r>
        <w:rPr>
          <w:spacing w:val="-2"/>
          <w:w w:val="100"/>
        </w:rPr>
        <w:t>废水</w:t>
      </w:r>
      <w:r>
        <w:rPr>
          <w:spacing w:val="-71"/>
        </w:rPr>
        <w:t> </w:t>
      </w:r>
      <w:r>
        <w:rPr>
          <w:w w:val="100"/>
        </w:rPr>
        <w:t>W2</w:t>
      </w:r>
      <w:r>
        <w:rPr>
          <w:spacing w:val="-2"/>
          <w:w w:val="100"/>
        </w:rPr>
        <w:t>-1</w:t>
      </w:r>
      <w:r>
        <w:rPr>
          <w:spacing w:val="-140"/>
          <w:w w:val="100"/>
        </w:rPr>
        <w:t>）</w:t>
      </w:r>
      <w:r>
        <w:rPr>
          <w:spacing w:val="-9"/>
          <w:w w:val="100"/>
        </w:rPr>
        <w:t>。酯化后已脱水的酯类物质</w:t>
      </w:r>
      <w:r>
        <w:rPr>
          <w:spacing w:val="-2"/>
        </w:rPr>
        <w:t>进入粗蒸釜，进行负压蒸馏，粗品从釜的上端蒸出，直接进入精馏塔</w:t>
      </w:r>
      <w:r>
        <w:rPr>
          <w:spacing w:val="-3"/>
        </w:rPr>
        <w:t>釜，下部有少量残渣</w:t>
      </w:r>
      <w:r>
        <w:rPr/>
        <w:t>（S2-1</w:t>
      </w:r>
      <w:r>
        <w:rPr>
          <w:spacing w:val="-19"/>
        </w:rPr>
        <w:t> 催化剂</w:t>
      </w:r>
      <w:r>
        <w:rPr>
          <w:spacing w:val="-140"/>
        </w:rPr>
        <w:t>）</w:t>
      </w:r>
      <w:r>
        <w:rPr/>
        <w:t>。</w:t>
      </w:r>
    </w:p>
    <w:p>
      <w:pPr>
        <w:pStyle w:val="BodyText"/>
        <w:spacing w:line="364" w:lineRule="auto"/>
        <w:ind w:left="221" w:right="276" w:firstLine="559"/>
        <w:jc w:val="both"/>
      </w:pPr>
      <w:r>
        <w:rPr/>
        <w:t>进入精馏釜的物料，在导热油加热下进行负压蒸馏，塔顶部蒸出</w:t>
      </w:r>
      <w:r>
        <w:rPr>
          <w:spacing w:val="-5"/>
          <w:w w:val="100"/>
        </w:rPr>
        <w:t>轻组分</w:t>
      </w:r>
      <w:r>
        <w:rPr>
          <w:spacing w:val="-3"/>
          <w:w w:val="100"/>
        </w:rPr>
        <w:t>（</w:t>
      </w:r>
      <w:r>
        <w:rPr>
          <w:spacing w:val="-2"/>
          <w:w w:val="100"/>
        </w:rPr>
        <w:t>如未反应的醇</w:t>
      </w:r>
      <w:r>
        <w:rPr>
          <w:spacing w:val="-142"/>
          <w:w w:val="100"/>
        </w:rPr>
        <w:t>）</w:t>
      </w:r>
      <w:r>
        <w:rPr>
          <w:spacing w:val="-5"/>
          <w:w w:val="100"/>
        </w:rPr>
        <w:t>，经冷凝收集返到酯化釜，从精馏塔中部采出</w:t>
      </w:r>
      <w:r>
        <w:rPr>
          <w:spacing w:val="-1"/>
        </w:rPr>
        <w:t>产品，经冷凝进入中间罐后再进成品罐，然后进行包装外售。塔釜下</w:t>
      </w:r>
      <w:r>
        <w:rPr>
          <w:spacing w:val="8"/>
        </w:rPr>
        <w:t>面的少量高沸物</w:t>
      </w:r>
      <w:r>
        <w:rPr/>
        <w:t>S2-2（重组分</w:t>
      </w:r>
      <w:r>
        <w:rPr>
          <w:spacing w:val="-3"/>
        </w:rPr>
        <w:t>）收集送有资质单位处置。</w:t>
      </w:r>
    </w:p>
    <w:p>
      <w:pPr>
        <w:pStyle w:val="BodyText"/>
        <w:spacing w:line="357" w:lineRule="exact"/>
        <w:ind w:left="780"/>
      </w:pPr>
      <w:r>
        <w:rPr/>
        <w:t>2、工艺流程图</w:t>
      </w:r>
    </w:p>
    <w:p>
      <w:pPr>
        <w:pStyle w:val="BodyText"/>
        <w:spacing w:before="4"/>
        <w:rPr>
          <w:sz w:val="12"/>
        </w:rPr>
      </w:pPr>
      <w:r>
        <w:rPr/>
        <w:drawing>
          <wp:anchor distT="0" distB="0" distL="0" distR="0" allowOverlap="1" layoutInCell="1" locked="0" behindDoc="0" simplePos="0" relativeHeight="17">
            <wp:simplePos x="0" y="0"/>
            <wp:positionH relativeFrom="page">
              <wp:posOffset>1708404</wp:posOffset>
            </wp:positionH>
            <wp:positionV relativeFrom="paragraph">
              <wp:posOffset>125357</wp:posOffset>
            </wp:positionV>
            <wp:extent cx="4019402" cy="29146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019402" cy="2914650"/>
                    </a:xfrm>
                    <a:prstGeom prst="rect">
                      <a:avLst/>
                    </a:prstGeom>
                  </pic:spPr>
                </pic:pic>
              </a:graphicData>
            </a:graphic>
          </wp:anchor>
        </w:drawing>
      </w:r>
    </w:p>
    <w:p>
      <w:pPr>
        <w:pStyle w:val="BodyText"/>
        <w:spacing w:before="10"/>
        <w:rPr>
          <w:sz w:val="30"/>
        </w:rPr>
      </w:pPr>
    </w:p>
    <w:p>
      <w:pPr>
        <w:tabs>
          <w:tab w:pos="2892" w:val="left" w:leader="none"/>
        </w:tabs>
        <w:spacing w:line="242" w:lineRule="auto" w:before="0"/>
        <w:ind w:left="780" w:right="1612" w:firstLine="773"/>
        <w:jc w:val="left"/>
        <w:rPr>
          <w:sz w:val="28"/>
        </w:rPr>
      </w:pPr>
      <w:r>
        <w:rPr>
          <w:b/>
          <w:sz w:val="28"/>
        </w:rPr>
        <w:t>图</w:t>
      </w:r>
      <w:r>
        <w:rPr>
          <w:b/>
          <w:spacing w:val="-71"/>
          <w:sz w:val="28"/>
        </w:rPr>
        <w:t> </w:t>
      </w:r>
      <w:r>
        <w:rPr>
          <w:b/>
          <w:sz w:val="28"/>
        </w:rPr>
        <w:t>2-3-2</w:t>
        <w:tab/>
        <w:t>项目多元醇混合酯生产工艺流程简</w:t>
      </w:r>
      <w:r>
        <w:rPr>
          <w:b/>
          <w:spacing w:val="-16"/>
          <w:sz w:val="28"/>
        </w:rPr>
        <w:t>图</w:t>
      </w:r>
      <w:r>
        <w:rPr>
          <w:sz w:val="28"/>
        </w:rPr>
        <w:t>三、3000t/a</w:t>
      </w:r>
      <w:r>
        <w:rPr>
          <w:spacing w:val="-72"/>
          <w:sz w:val="28"/>
        </w:rPr>
        <w:t> </w:t>
      </w:r>
      <w:r>
        <w:rPr>
          <w:sz w:val="28"/>
        </w:rPr>
        <w:t>乙腈</w:t>
      </w:r>
      <w:r>
        <w:rPr>
          <w:spacing w:val="-3"/>
          <w:sz w:val="28"/>
        </w:rPr>
        <w:t>生</w:t>
      </w:r>
      <w:r>
        <w:rPr>
          <w:sz w:val="28"/>
        </w:rPr>
        <w:t>产扩建</w:t>
      </w:r>
      <w:r>
        <w:rPr>
          <w:spacing w:val="-3"/>
          <w:sz w:val="28"/>
        </w:rPr>
        <w:t>项</w:t>
      </w:r>
      <w:r>
        <w:rPr>
          <w:sz w:val="28"/>
        </w:rPr>
        <w:t>目</w:t>
      </w:r>
    </w:p>
    <w:p>
      <w:pPr>
        <w:pStyle w:val="BodyText"/>
        <w:spacing w:before="180"/>
        <w:ind w:left="780"/>
      </w:pPr>
      <w:r>
        <w:rPr/>
        <w:t>1、工艺流程简述</w:t>
      </w:r>
    </w:p>
    <w:p>
      <w:pPr>
        <w:pStyle w:val="ListParagraph"/>
        <w:numPr>
          <w:ilvl w:val="0"/>
          <w:numId w:val="5"/>
        </w:numPr>
        <w:tabs>
          <w:tab w:pos="1483" w:val="left" w:leader="none"/>
        </w:tabs>
        <w:spacing w:line="240" w:lineRule="auto" w:before="186" w:after="0"/>
        <w:ind w:left="1482" w:right="0" w:hanging="703"/>
        <w:jc w:val="left"/>
        <w:rPr>
          <w:sz w:val="28"/>
        </w:rPr>
      </w:pPr>
      <w:r>
        <w:rPr>
          <w:sz w:val="28"/>
        </w:rPr>
        <w:t>进料</w:t>
      </w:r>
    </w:p>
    <w:p>
      <w:pPr>
        <w:spacing w:after="0" w:line="240" w:lineRule="auto"/>
        <w:jc w:val="left"/>
        <w:rPr>
          <w:sz w:val="28"/>
        </w:rPr>
        <w:sectPr>
          <w:pgSz w:w="11910" w:h="16840"/>
          <w:pgMar w:header="0" w:footer="984" w:top="1580" w:bottom="1180" w:left="1480" w:right="1420"/>
        </w:sectPr>
      </w:pPr>
    </w:p>
    <w:p>
      <w:pPr>
        <w:pStyle w:val="BodyText"/>
        <w:spacing w:line="364" w:lineRule="auto" w:before="102"/>
        <w:ind w:left="221" w:right="276" w:firstLine="559"/>
      </w:pPr>
      <w:r>
        <w:rPr/>
        <w:t>工艺原理：利用离心泵把废乙腈输送至换热器达到一定温度后输送至常压精馏塔内。</w:t>
      </w:r>
    </w:p>
    <w:p>
      <w:pPr>
        <w:pStyle w:val="BodyText"/>
        <w:spacing w:line="364" w:lineRule="auto"/>
        <w:ind w:left="221" w:right="136" w:firstLine="559"/>
      </w:pPr>
      <w:r>
        <w:rPr>
          <w:spacing w:val="-4"/>
        </w:rPr>
        <w:t>工艺流程：废乙腈主要由乙腈含量</w:t>
      </w:r>
      <w:r>
        <w:rPr/>
        <w:t>≥50</w:t>
      </w:r>
      <w:r>
        <w:rPr>
          <w:spacing w:val="-5"/>
        </w:rPr>
        <w:t>%、乙腈和水含量</w:t>
      </w:r>
      <w:r>
        <w:rPr/>
        <w:t>≥96.5%、</w:t>
      </w:r>
      <w:r>
        <w:rPr>
          <w:spacing w:val="-7"/>
        </w:rPr>
        <w:t>低沸点有机物含量</w:t>
      </w:r>
      <w:r>
        <w:rPr/>
        <w:t>（</w:t>
      </w:r>
      <w:r>
        <w:rPr>
          <w:spacing w:val="-22"/>
        </w:rPr>
        <w:t>沸点 </w:t>
      </w:r>
      <w:r>
        <w:rPr/>
        <w:t>55-70</w:t>
      </w:r>
      <w:r>
        <w:rPr>
          <w:spacing w:val="-3"/>
        </w:rPr>
        <w:t>℃主要组分为甲醇和丙酮</w:t>
      </w:r>
      <w:r>
        <w:rPr>
          <w:spacing w:val="-10"/>
        </w:rPr>
        <w:t>）≤3</w:t>
      </w:r>
      <w:r>
        <w:rPr>
          <w:spacing w:val="-12"/>
        </w:rPr>
        <w:t>%、高沸</w:t>
      </w:r>
      <w:r>
        <w:rPr>
          <w:spacing w:val="-13"/>
        </w:rPr>
        <w:t>点有机物</w:t>
      </w:r>
      <w:r>
        <w:rPr/>
        <w:t>（</w:t>
      </w:r>
      <w:r>
        <w:rPr>
          <w:spacing w:val="-2"/>
        </w:rPr>
        <w:t>沸点</w:t>
      </w:r>
      <w:r>
        <w:rPr/>
        <w:t>≥150</w:t>
      </w:r>
      <w:r>
        <w:rPr>
          <w:spacing w:val="-3"/>
        </w:rPr>
        <w:t>℃主要为少量氨基酸类</w:t>
      </w:r>
      <w:r>
        <w:rPr>
          <w:spacing w:val="-4"/>
        </w:rPr>
        <w:t>）≤0.5</w:t>
      </w:r>
      <w:r>
        <w:rPr>
          <w:spacing w:val="-5"/>
        </w:rPr>
        <w:t>%组成，废乙腈被</w:t>
      </w:r>
      <w:r>
        <w:rPr>
          <w:spacing w:val="-7"/>
        </w:rPr>
        <w:t>离心泵从原料中间罐输送经过 </w:t>
      </w:r>
      <w:r>
        <w:rPr/>
        <w:t>1</w:t>
      </w:r>
      <w:r>
        <w:rPr>
          <w:spacing w:val="-11"/>
        </w:rPr>
        <w:t> 号常压精馏塔的预热器和 </w:t>
      </w:r>
      <w:r>
        <w:rPr/>
        <w:t>2</w:t>
      </w:r>
      <w:r>
        <w:rPr>
          <w:spacing w:val="-9"/>
        </w:rPr>
        <w:t> 号加压精</w:t>
      </w:r>
      <w:r>
        <w:rPr/>
        <w:t>馏塔返回的馏分（</w:t>
      </w:r>
      <w:r>
        <w:rPr>
          <w:spacing w:val="2"/>
        </w:rPr>
        <w:t>乙腈和水的蒸汽温度约为 </w:t>
      </w:r>
      <w:r>
        <w:rPr/>
        <w:t>118℃）换热，温度达到80</w:t>
      </w:r>
      <w:r>
        <w:rPr>
          <w:spacing w:val="-26"/>
        </w:rPr>
        <w:t> 度后进入 </w:t>
      </w:r>
      <w:r>
        <w:rPr/>
        <w:t>1</w:t>
      </w:r>
      <w:r>
        <w:rPr>
          <w:spacing w:val="-12"/>
        </w:rPr>
        <w:t> 号常压精馏塔。</w:t>
      </w:r>
    </w:p>
    <w:p>
      <w:pPr>
        <w:pStyle w:val="ListParagraph"/>
        <w:numPr>
          <w:ilvl w:val="0"/>
          <w:numId w:val="5"/>
        </w:numPr>
        <w:tabs>
          <w:tab w:pos="1483" w:val="left" w:leader="none"/>
        </w:tabs>
        <w:spacing w:line="353" w:lineRule="exact" w:before="0" w:after="0"/>
        <w:ind w:left="1482" w:right="0" w:hanging="703"/>
        <w:jc w:val="left"/>
        <w:rPr>
          <w:sz w:val="28"/>
        </w:rPr>
      </w:pPr>
      <w:r>
        <w:rPr>
          <w:spacing w:val="-1"/>
          <w:sz w:val="28"/>
        </w:rPr>
        <w:t>常压精馏</w:t>
      </w:r>
    </w:p>
    <w:p>
      <w:pPr>
        <w:pStyle w:val="BodyText"/>
        <w:spacing w:before="185"/>
        <w:ind w:left="780"/>
      </w:pPr>
      <w:r>
        <w:rPr/>
        <w:t>工艺原理：利用废乙腈各组分沸点不同来实现分离。</w:t>
      </w:r>
    </w:p>
    <w:p>
      <w:pPr>
        <w:pStyle w:val="BodyText"/>
        <w:spacing w:line="364" w:lineRule="auto" w:before="186"/>
        <w:ind w:left="221" w:right="277" w:firstLine="559"/>
        <w:jc w:val="both"/>
      </w:pPr>
      <w:r>
        <w:rPr>
          <w:spacing w:val="-4"/>
        </w:rPr>
        <w:t>工艺流程：废乙腈经进料系统进入到 </w:t>
      </w:r>
      <w:r>
        <w:rPr/>
        <w:t>1</w:t>
      </w:r>
      <w:r>
        <w:rPr>
          <w:spacing w:val="-4"/>
        </w:rPr>
        <w:t> 号常压精馏塔后，被分离</w:t>
      </w:r>
      <w:r>
        <w:rPr/>
        <w:t>成塔顶馏分（乙腈、水及低沸点有机物组成）和塔釜馏分</w:t>
      </w:r>
      <w:r>
        <w:rPr>
          <w:spacing w:val="4"/>
        </w:rPr>
        <w:t>（</w:t>
      </w:r>
      <w:r>
        <w:rPr/>
        <w:t>主要为水</w:t>
      </w:r>
      <w:r>
        <w:rPr>
          <w:spacing w:val="-2"/>
        </w:rPr>
        <w:t>和高沸点有机物</w:t>
      </w:r>
      <w:r>
        <w:rPr>
          <w:spacing w:val="-90"/>
        </w:rPr>
        <w:t>）</w:t>
      </w:r>
      <w:r>
        <w:rPr>
          <w:spacing w:val="-20"/>
        </w:rPr>
        <w:t>；塔顶馏分通过 </w:t>
      </w:r>
      <w:r>
        <w:rPr/>
        <w:t>1</w:t>
      </w:r>
      <w:r>
        <w:rPr>
          <w:spacing w:val="-11"/>
        </w:rPr>
        <w:t> 号常压精馏塔的塔顶冷凝器和循环</w:t>
      </w:r>
      <w:r>
        <w:rPr/>
        <w:t>冷却水（25</w:t>
      </w:r>
      <w:r>
        <w:rPr>
          <w:spacing w:val="-16"/>
        </w:rPr>
        <w:t> 度左右</w:t>
      </w:r>
      <w:r>
        <w:rPr/>
        <w:t>）</w:t>
      </w:r>
      <w:r>
        <w:rPr>
          <w:spacing w:val="-9"/>
        </w:rPr>
        <w:t>换热后一部分进入 </w:t>
      </w:r>
      <w:r>
        <w:rPr/>
        <w:t>1</w:t>
      </w:r>
      <w:r>
        <w:rPr>
          <w:spacing w:val="-9"/>
        </w:rPr>
        <w:t> 号常压精馏塔塔顶馏分中间</w:t>
      </w:r>
      <w:r>
        <w:rPr>
          <w:spacing w:val="-3"/>
        </w:rPr>
        <w:t>罐，一部分回流回 </w:t>
      </w:r>
      <w:r>
        <w:rPr/>
        <w:t>1</w:t>
      </w:r>
      <w:r>
        <w:rPr>
          <w:spacing w:val="-4"/>
        </w:rPr>
        <w:t> 号常压精馏塔内以便调节精馏塔分离效果；塔釜</w:t>
      </w:r>
      <w:r>
        <w:rPr>
          <w:spacing w:val="-3"/>
        </w:rPr>
        <w:t>馏分经过再沸器被 </w:t>
      </w:r>
      <w:r>
        <w:rPr/>
        <w:t>0.7MP</w:t>
      </w:r>
      <w:r>
        <w:rPr>
          <w:spacing w:val="-4"/>
        </w:rPr>
        <w:t> 饱和蒸汽加热后，轻组分返回精馏塔内，重</w:t>
      </w:r>
      <w:r>
        <w:rPr>
          <w:spacing w:val="13"/>
        </w:rPr>
        <w:t>组分即废水</w:t>
      </w:r>
      <w:r>
        <w:rPr/>
        <w:t>W4-1</w:t>
      </w:r>
      <w:r>
        <w:rPr>
          <w:spacing w:val="-10"/>
        </w:rPr>
        <w:t> 被排至污水处理。</w:t>
      </w:r>
    </w:p>
    <w:p>
      <w:pPr>
        <w:pStyle w:val="ListParagraph"/>
        <w:numPr>
          <w:ilvl w:val="0"/>
          <w:numId w:val="5"/>
        </w:numPr>
        <w:tabs>
          <w:tab w:pos="1483" w:val="left" w:leader="none"/>
        </w:tabs>
        <w:spacing w:line="355" w:lineRule="exact" w:before="0" w:after="0"/>
        <w:ind w:left="1482" w:right="0" w:hanging="703"/>
        <w:jc w:val="left"/>
        <w:rPr>
          <w:sz w:val="28"/>
        </w:rPr>
      </w:pPr>
      <w:r>
        <w:rPr>
          <w:spacing w:val="-1"/>
          <w:sz w:val="28"/>
        </w:rPr>
        <w:t>加压精馏</w:t>
      </w:r>
    </w:p>
    <w:p>
      <w:pPr>
        <w:pStyle w:val="BodyText"/>
        <w:spacing w:line="364" w:lineRule="auto" w:before="186"/>
        <w:ind w:left="221" w:right="276" w:firstLine="559"/>
      </w:pPr>
      <w:r>
        <w:rPr/>
        <w:t>工艺原理：利用加压破坏乙腈和水的共沸，利用精馏来实现不同沸点馏分的分离，主要分离得到乙腈产品和高浓度的低沸有机物。</w:t>
      </w:r>
    </w:p>
    <w:p>
      <w:pPr>
        <w:pStyle w:val="BodyText"/>
        <w:spacing w:line="364" w:lineRule="auto"/>
        <w:ind w:left="221" w:right="273" w:firstLine="559"/>
        <w:jc w:val="both"/>
      </w:pPr>
      <w:r>
        <w:rPr>
          <w:spacing w:val="-12"/>
        </w:rPr>
        <w:t>工艺流程：</w:t>
      </w:r>
      <w:r>
        <w:rPr>
          <w:spacing w:val="-53"/>
        </w:rPr>
        <w:t>1</w:t>
      </w:r>
      <w:r>
        <w:rPr>
          <w:spacing w:val="-8"/>
        </w:rPr>
        <w:t> 号精馏塔塔顶馏分从馏分中间罐按照一定流量通过离</w:t>
      </w:r>
      <w:r>
        <w:rPr>
          <w:spacing w:val="-10"/>
        </w:rPr>
        <w:t>心泵被输送至 </w:t>
      </w:r>
      <w:r>
        <w:rPr/>
        <w:t>2</w:t>
      </w:r>
      <w:r>
        <w:rPr>
          <w:spacing w:val="-10"/>
        </w:rPr>
        <w:t> 号加压精馏塔预热器，被来自 </w:t>
      </w:r>
      <w:r>
        <w:rPr/>
        <w:t>2</w:t>
      </w:r>
      <w:r>
        <w:rPr>
          <w:spacing w:val="-8"/>
        </w:rPr>
        <w:t> 号精馏塔的产品气加</w:t>
      </w:r>
      <w:r>
        <w:rPr>
          <w:spacing w:val="-20"/>
        </w:rPr>
        <w:t>热至约 </w:t>
      </w:r>
      <w:r>
        <w:rPr/>
        <w:t>80</w:t>
      </w:r>
      <w:r>
        <w:rPr>
          <w:spacing w:val="-16"/>
        </w:rPr>
        <w:t> 度，然后进入 </w:t>
      </w:r>
      <w:r>
        <w:rPr/>
        <w:t>2</w:t>
      </w:r>
      <w:r>
        <w:rPr>
          <w:spacing w:val="-10"/>
        </w:rPr>
        <w:t> 号加压精馏塔</w:t>
      </w:r>
      <w:r>
        <w:rPr/>
        <w:t>（</w:t>
      </w:r>
      <w:r>
        <w:rPr>
          <w:spacing w:val="-17"/>
        </w:rPr>
        <w:t>压力 </w:t>
      </w:r>
      <w:r>
        <w:rPr/>
        <w:t>0.3MP）内。1</w:t>
      </w:r>
      <w:r>
        <w:rPr>
          <w:spacing w:val="-14"/>
        </w:rPr>
        <w:t> 号精馏</w:t>
      </w:r>
      <w:r>
        <w:rPr>
          <w:spacing w:val="-8"/>
        </w:rPr>
        <w:t>塔塔顶馏分经过 </w:t>
      </w:r>
      <w:r>
        <w:rPr/>
        <w:t>2</w:t>
      </w:r>
      <w:r>
        <w:rPr>
          <w:spacing w:val="-3"/>
        </w:rPr>
        <w:t> 号加压精馏塔后馏分被分离成塔顶馏分</w:t>
      </w:r>
      <w:r>
        <w:rPr/>
        <w:t>（</w:t>
      </w:r>
      <w:r>
        <w:rPr>
          <w:spacing w:val="-2"/>
        </w:rPr>
        <w:t>主要为低</w:t>
      </w:r>
      <w:r>
        <w:rPr>
          <w:spacing w:val="-3"/>
          <w:w w:val="100"/>
        </w:rPr>
        <w:t>沸有机物</w:t>
      </w:r>
      <w:r>
        <w:rPr>
          <w:spacing w:val="-140"/>
          <w:w w:val="100"/>
        </w:rPr>
        <w:t>）</w:t>
      </w:r>
      <w:r>
        <w:rPr>
          <w:spacing w:val="-5"/>
          <w:w w:val="100"/>
        </w:rPr>
        <w:t>，塔中馏分</w:t>
      </w:r>
      <w:r>
        <w:rPr>
          <w:w w:val="100"/>
        </w:rPr>
        <w:t>（</w:t>
      </w:r>
      <w:r>
        <w:rPr>
          <w:spacing w:val="-3"/>
          <w:w w:val="100"/>
        </w:rPr>
        <w:t>乙腈和水</w:t>
      </w:r>
      <w:r>
        <w:rPr>
          <w:spacing w:val="-140"/>
          <w:w w:val="100"/>
        </w:rPr>
        <w:t>）</w:t>
      </w:r>
      <w:r>
        <w:rPr>
          <w:spacing w:val="-4"/>
          <w:w w:val="100"/>
        </w:rPr>
        <w:t>，塔底馏分</w:t>
      </w:r>
      <w:r>
        <w:rPr>
          <w:spacing w:val="-3"/>
          <w:w w:val="100"/>
        </w:rPr>
        <w:t>（</w:t>
      </w:r>
      <w:r>
        <w:rPr>
          <w:spacing w:val="-2"/>
          <w:w w:val="100"/>
        </w:rPr>
        <w:t>乙腈</w:t>
      </w:r>
      <w:r>
        <w:rPr>
          <w:spacing w:val="-140"/>
          <w:w w:val="100"/>
        </w:rPr>
        <w:t>）</w:t>
      </w:r>
      <w:r>
        <w:rPr>
          <w:spacing w:val="-3"/>
          <w:w w:val="100"/>
        </w:rPr>
        <w:t>；塔顶馏分经过</w:t>
      </w:r>
    </w:p>
    <w:p>
      <w:pPr>
        <w:spacing w:after="0" w:line="364" w:lineRule="auto"/>
        <w:jc w:val="both"/>
        <w:sectPr>
          <w:pgSz w:w="11910" w:h="16840"/>
          <w:pgMar w:header="0" w:footer="984" w:top="1580" w:bottom="1180" w:left="1480" w:right="1420"/>
        </w:sectPr>
      </w:pPr>
    </w:p>
    <w:p>
      <w:pPr>
        <w:pStyle w:val="BodyText"/>
        <w:spacing w:before="102"/>
        <w:ind w:left="221"/>
        <w:jc w:val="both"/>
      </w:pPr>
      <w:r>
        <w:rPr/>
        <w:t>2</w:t>
      </w:r>
      <w:r>
        <w:rPr>
          <w:spacing w:val="-3"/>
        </w:rPr>
        <w:t> 号加压塔冷凝器和循环冷却水</w:t>
      </w:r>
      <w:r>
        <w:rPr/>
        <w:t>（25</w:t>
      </w:r>
      <w:r>
        <w:rPr>
          <w:spacing w:val="-3"/>
        </w:rPr>
        <w:t> 度左右）换热后一部分按照按照</w:t>
      </w:r>
    </w:p>
    <w:p>
      <w:pPr>
        <w:pStyle w:val="BodyText"/>
        <w:spacing w:before="186"/>
        <w:ind w:left="221"/>
        <w:jc w:val="both"/>
      </w:pPr>
      <w:r>
        <w:rPr>
          <w:spacing w:val="-3"/>
        </w:rPr>
        <w:t>一定回流比回流回 </w:t>
      </w:r>
      <w:r>
        <w:rPr/>
        <w:t>2</w:t>
      </w:r>
      <w:r>
        <w:rPr>
          <w:spacing w:val="-3"/>
        </w:rPr>
        <w:t> 号加压精馏塔内以便调节精馏塔分离效果；一部</w:t>
      </w:r>
    </w:p>
    <w:p>
      <w:pPr>
        <w:pStyle w:val="BodyText"/>
        <w:spacing w:line="364" w:lineRule="auto" w:before="186"/>
        <w:ind w:left="221" w:right="139"/>
        <w:jc w:val="both"/>
      </w:pPr>
      <w:r>
        <w:rPr>
          <w:spacing w:val="-3"/>
        </w:rPr>
        <w:t>分采出至低沸点有机物中间罐；塔中馏分</w:t>
      </w:r>
      <w:r>
        <w:rPr/>
        <w:t>（</w:t>
      </w:r>
      <w:r>
        <w:rPr>
          <w:spacing w:val="-3"/>
        </w:rPr>
        <w:t>乙腈和水）</w:t>
      </w:r>
      <w:r>
        <w:rPr>
          <w:spacing w:val="-4"/>
        </w:rPr>
        <w:t>返回 </w:t>
      </w:r>
      <w:r>
        <w:rPr/>
        <w:t>1</w:t>
      </w:r>
      <w:r>
        <w:rPr>
          <w:spacing w:val="-4"/>
        </w:rPr>
        <w:t> 号常压</w:t>
      </w:r>
      <w:r>
        <w:rPr>
          <w:spacing w:val="-5"/>
        </w:rPr>
        <w:t>精馏塔内；塔釜馏分一部分经过再沸器被 </w:t>
      </w:r>
      <w:r>
        <w:rPr/>
        <w:t>0.7MP</w:t>
      </w:r>
      <w:r>
        <w:rPr>
          <w:spacing w:val="-4"/>
        </w:rPr>
        <w:t> 饱和蒸汽加热后返回</w:t>
      </w:r>
      <w:r>
        <w:rPr>
          <w:spacing w:val="-14"/>
        </w:rPr>
        <w:t>精馏塔内，一部分与 </w:t>
      </w:r>
      <w:r>
        <w:rPr/>
        <w:t>1</w:t>
      </w:r>
      <w:r>
        <w:rPr>
          <w:spacing w:val="-9"/>
        </w:rPr>
        <w:t> 号精馏塔塔顶馏分换热后进入乙腈产品中间罐。</w:t>
      </w:r>
    </w:p>
    <w:p>
      <w:pPr>
        <w:pStyle w:val="BodyText"/>
        <w:spacing w:line="362" w:lineRule="auto"/>
        <w:ind w:left="221" w:right="276" w:firstLine="559"/>
      </w:pPr>
      <w:r>
        <w:rPr/>
        <w:t>生产工艺中，采用循环冷却水冷凝回收乙腈、低沸点有机物，根据生产经验，平均回收率约为 99.8%。</w:t>
      </w:r>
    </w:p>
    <w:p>
      <w:pPr>
        <w:pStyle w:val="BodyText"/>
        <w:spacing w:before="2"/>
        <w:ind w:left="780"/>
      </w:pPr>
      <w:r>
        <w:rPr/>
        <w:t>2、工艺流程图</w:t>
      </w:r>
    </w:p>
    <w:p>
      <w:pPr>
        <w:spacing w:after="0"/>
        <w:sectPr>
          <w:pgSz w:w="11910" w:h="16840"/>
          <w:pgMar w:header="0" w:footer="984" w:top="1580" w:bottom="1180" w:left="1480" w:right="1420"/>
        </w:sectPr>
      </w:pPr>
    </w:p>
    <w:p>
      <w:pPr>
        <w:pStyle w:val="BodyText"/>
        <w:rPr>
          <w:sz w:val="20"/>
        </w:rPr>
      </w:pPr>
      <w:r>
        <w:rPr/>
        <w:drawing>
          <wp:anchor distT="0" distB="0" distL="0" distR="0" allowOverlap="1" layoutInCell="1" locked="0" behindDoc="1" simplePos="0" relativeHeight="242470912">
            <wp:simplePos x="0" y="0"/>
            <wp:positionH relativeFrom="page">
              <wp:posOffset>1595627</wp:posOffset>
            </wp:positionH>
            <wp:positionV relativeFrom="page">
              <wp:posOffset>2054346</wp:posOffset>
            </wp:positionV>
            <wp:extent cx="355091" cy="1143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55091" cy="114300"/>
                    </a:xfrm>
                    <a:prstGeom prst="rect">
                      <a:avLst/>
                    </a:prstGeom>
                  </pic:spPr>
                </pic:pic>
              </a:graphicData>
            </a:graphic>
          </wp:anchor>
        </w:drawing>
      </w:r>
      <w:r>
        <w:rPr/>
        <w:drawing>
          <wp:anchor distT="0" distB="0" distL="0" distR="0" allowOverlap="1" layoutInCell="1" locked="0" behindDoc="1" simplePos="0" relativeHeight="242471936">
            <wp:simplePos x="0" y="0"/>
            <wp:positionH relativeFrom="page">
              <wp:posOffset>1684020</wp:posOffset>
            </wp:positionH>
            <wp:positionV relativeFrom="page">
              <wp:posOffset>2795010</wp:posOffset>
            </wp:positionV>
            <wp:extent cx="230124" cy="11125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230124" cy="111251"/>
                    </a:xfrm>
                    <a:prstGeom prst="rect">
                      <a:avLst/>
                    </a:prstGeom>
                  </pic:spPr>
                </pic:pic>
              </a:graphicData>
            </a:graphic>
          </wp:anchor>
        </w:drawing>
      </w:r>
      <w:r>
        <w:rPr/>
        <w:drawing>
          <wp:anchor distT="0" distB="0" distL="0" distR="0" allowOverlap="1" layoutInCell="1" locked="0" behindDoc="1" simplePos="0" relativeHeight="242472960">
            <wp:simplePos x="0" y="0"/>
            <wp:positionH relativeFrom="page">
              <wp:posOffset>5196840</wp:posOffset>
            </wp:positionH>
            <wp:positionV relativeFrom="page">
              <wp:posOffset>3325362</wp:posOffset>
            </wp:positionV>
            <wp:extent cx="230124" cy="111251"/>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230124" cy="111251"/>
                    </a:xfrm>
                    <a:prstGeom prst="rect">
                      <a:avLst/>
                    </a:prstGeom>
                  </pic:spPr>
                </pic:pic>
              </a:graphicData>
            </a:graphic>
          </wp:anchor>
        </w:drawing>
      </w:r>
      <w:r>
        <w:rPr/>
        <w:drawing>
          <wp:anchor distT="0" distB="0" distL="0" distR="0" allowOverlap="1" layoutInCell="1" locked="0" behindDoc="1" simplePos="0" relativeHeight="242473984">
            <wp:simplePos x="0" y="0"/>
            <wp:positionH relativeFrom="page">
              <wp:posOffset>9142476</wp:posOffset>
            </wp:positionH>
            <wp:positionV relativeFrom="page">
              <wp:posOffset>1557522</wp:posOffset>
            </wp:positionV>
            <wp:extent cx="478535" cy="111251"/>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478535" cy="111251"/>
                    </a:xfrm>
                    <a:prstGeom prst="rect">
                      <a:avLst/>
                    </a:prstGeom>
                  </pic:spPr>
                </pic:pic>
              </a:graphicData>
            </a:graphic>
          </wp:anchor>
        </w:drawing>
      </w:r>
      <w:r>
        <w:rPr/>
        <w:drawing>
          <wp:anchor distT="0" distB="0" distL="0" distR="0" allowOverlap="1" layoutInCell="1" locked="0" behindDoc="1" simplePos="0" relativeHeight="242475008">
            <wp:simplePos x="0" y="0"/>
            <wp:positionH relativeFrom="page">
              <wp:posOffset>9142476</wp:posOffset>
            </wp:positionH>
            <wp:positionV relativeFrom="page">
              <wp:posOffset>1787646</wp:posOffset>
            </wp:positionV>
            <wp:extent cx="478535" cy="111251"/>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478535" cy="111251"/>
                    </a:xfrm>
                    <a:prstGeom prst="rect">
                      <a:avLst/>
                    </a:prstGeom>
                  </pic:spPr>
                </pic:pic>
              </a:graphicData>
            </a:graphic>
          </wp:anchor>
        </w:drawing>
      </w:r>
    </w:p>
    <w:p>
      <w:pPr>
        <w:pStyle w:val="BodyText"/>
        <w:spacing w:before="4"/>
        <w:rPr>
          <w:sz w:val="29"/>
        </w:rPr>
      </w:pPr>
    </w:p>
    <w:p>
      <w:pPr>
        <w:pStyle w:val="BodyText"/>
        <w:ind w:left="-682"/>
        <w:rPr>
          <w:sz w:val="20"/>
        </w:rPr>
      </w:pPr>
      <w:r>
        <w:rPr>
          <w:sz w:val="20"/>
        </w:rPr>
        <w:pict>
          <v:group style="width:640.4pt;height:323.3pt;mso-position-horizontal-relative:char;mso-position-vertical-relative:line" coordorigin="0,0" coordsize="12808,6466">
            <v:line style="position:absolute" from="1616,2413" to="534,2413" stroked="true" strokeweight=".12pt" strokecolor="#000000">
              <v:stroke dashstyle="solid"/>
            </v:line>
            <v:line style="position:absolute" from="534,2413" to="534,3092" stroked="true" strokeweight=".12pt" strokecolor="#000000">
              <v:stroke dashstyle="solid"/>
            </v:line>
            <v:line style="position:absolute" from="534,3092" to="1616,3092" stroked="true" strokeweight=".12pt" strokecolor="#000000">
              <v:stroke dashstyle="solid"/>
            </v:line>
            <v:line style="position:absolute" from="1616,3092" to="1616,2413" stroked="true" strokeweight=".12pt" strokecolor="#000000">
              <v:stroke dashstyle="solid"/>
            </v:line>
            <v:shape style="position:absolute;left:2686;top:1635;width:615;height:140" coordorigin="2687,1636" coordsize="615,140" path="m3301,1775l3301,1746,3282,1722,3222,1681,3133,1645,3078,1640,3025,1636,2965,1636,2910,1640,2857,1645,2809,1664,2766,1681,2735,1698,2706,1722,2694,1746,2687,1775e" filled="false" stroked="true" strokeweight=".12pt" strokecolor="#000000">
              <v:path arrowok="t"/>
              <v:stroke dashstyle="solid"/>
            </v:shape>
            <v:shape style="position:absolute;left:2686;top:5374;width:615;height:140" coordorigin="2687,5375" coordsize="615,140" path="m3301,5375l3301,5396,3282,5420,3222,5468,3133,5497,3025,5514,2965,5514,2857,5497,2766,5468,2706,5420,2694,5396,2687,5375e" filled="false" stroked="true" strokeweight=".12pt" strokecolor="#000000">
              <v:path arrowok="t"/>
              <v:stroke dashstyle="solid"/>
            </v:shape>
            <v:line style="position:absolute" from="1516,4708" to="2833,4708" stroked="true" strokeweight=".12pt" strokecolor="#000000">
              <v:stroke dashstyle="solid"/>
            </v:line>
            <v:line style="position:absolute" from="2687,1775" to="2687,5375" stroked="true" strokeweight=".12pt" strokecolor="#000000">
              <v:stroke dashstyle="solid"/>
            </v:line>
            <v:line style="position:absolute" from="3301,1775" to="3301,5375" stroked="true" strokeweight=".12pt" strokecolor="#000000">
              <v:stroke dashstyle="solid"/>
            </v:line>
            <v:shape style="position:absolute;left:2514;top:3687;width:173;height:60" coordorigin="2514,3688" coordsize="173,60" path="m2514,3688l2514,3748,2687,3719,2514,3688xe" filled="true" fillcolor="#000000" stroked="false">
              <v:path arrowok="t"/>
              <v:fill type="solid"/>
            </v:shape>
            <v:shape style="position:absolute;left:2514;top:3687;width:173;height:60" coordorigin="2514,3688" coordsize="173,60" path="m2514,3688l2687,3719,2514,3748,2514,3688xe" filled="false" stroked="true" strokeweight=".12pt" strokecolor="#000000">
              <v:path arrowok="t"/>
              <v:stroke dashstyle="solid"/>
            </v:shape>
            <v:shape style="position:absolute;left:2530;top:2792;width:156;height:53" coordorigin="2531,2792" coordsize="156,53" path="m2531,2792l2531,2845,2687,2816,2531,2792xe" filled="true" fillcolor="#000000" stroked="false">
              <v:path arrowok="t"/>
              <v:fill type="solid"/>
            </v:shape>
            <v:shape style="position:absolute;left:2530;top:2792;width:156;height:53" coordorigin="2531,2792" coordsize="156,53" path="m2531,2792l2687,2816,2531,2845,2531,2792xe" filled="false" stroked="true" strokeweight=".12pt" strokecolor="#000000">
              <v:path arrowok="t"/>
              <v:stroke dashstyle="solid"/>
            </v:shape>
            <v:shape style="position:absolute;left:3301;top:1950;width:156;height:53" coordorigin="3301,1950" coordsize="156,53" path="m3457,1950l3301,1974,3457,2003,3457,1950xe" filled="true" fillcolor="#000000" stroked="false">
              <v:path arrowok="t"/>
              <v:fill type="solid"/>
            </v:shape>
            <v:shape style="position:absolute;left:3301;top:1950;width:156;height:53" coordorigin="3301,1950" coordsize="156,53" path="m3457,2003l3301,1974,3457,1950,3457,2003xe" filled="false" stroked="true" strokeweight=".12pt" strokecolor="#000000">
              <v:path arrowok="t"/>
              <v:stroke dashstyle="solid"/>
            </v:shape>
            <v:line style="position:absolute" from="1084,3719" to="2687,3719" stroked="true" strokeweight=".12pt" strokecolor="#000000">
              <v:stroke dashstyle="solid"/>
            </v:line>
            <v:line style="position:absolute" from="1076,1789" to="1076,2413" stroked="true" strokeweight=".12pt" strokecolor="#000000">
              <v:stroke dashstyle="solid"/>
            </v:line>
            <v:line style="position:absolute" from="2833,4708" to="3258,4708" stroked="true" strokeweight=".12pt" strokecolor="#000000">
              <v:stroke dashstyle="solid"/>
            </v:line>
            <v:line style="position:absolute" from="3258,5156" to="1516,5156" stroked="true" strokeweight=".12pt" strokecolor="#000000">
              <v:stroke dashstyle="solid"/>
            </v:line>
            <v:line style="position:absolute" from="3258,4708" to="2723,4847" stroked="true" strokeweight=".12pt" strokecolor="#000000">
              <v:stroke dashstyle="solid"/>
            </v:line>
            <v:line style="position:absolute" from="2723,5017" to="3258,5156" stroked="true" strokeweight=".12pt" strokecolor="#000000">
              <v:stroke dashstyle="solid"/>
            </v:line>
            <v:line style="position:absolute" from="2723,4847" to="3258,4916" stroked="true" strokeweight=".12pt" strokecolor="#000000">
              <v:stroke dashstyle="solid"/>
            </v:line>
            <v:line style="position:absolute" from="3258,4916" to="2723,5017" stroked="true" strokeweight=".12pt" strokecolor="#000000">
              <v:stroke dashstyle="solid"/>
            </v:line>
            <v:line style="position:absolute" from="2994,1636" to="2994,882" stroked="true" strokeweight=".12pt" strokecolor="#000000">
              <v:stroke dashstyle="solid"/>
            </v:line>
            <v:line style="position:absolute" from="3301,1974" to="4148,1974" stroked="true" strokeweight=".12pt" strokecolor="#000000">
              <v:stroke dashstyle="solid"/>
            </v:line>
            <v:line style="position:absolute" from="2994,5514" to="2994,6246" stroked="true" strokeweight=".12pt" strokecolor="#000000">
              <v:stroke dashstyle="solid"/>
            </v:line>
            <v:line style="position:absolute" from="2994,6246" to="2200,6246" stroked="true" strokeweight=".12pt" strokecolor="#000000">
              <v:stroke dashstyle="solid"/>
            </v:line>
            <v:shape style="position:absolute;left:2103;top:6210;width:106;height:70" coordorigin="2104,6210" coordsize="106,70" path="m2209,6210l2104,6246,2209,6280,2209,6210xe" filled="true" fillcolor="#000000" stroked="false">
              <v:path arrowok="t"/>
              <v:fill type="solid"/>
            </v:shape>
            <v:rect style="position:absolute;left:3915;top:5986;width:960;height:478" filled="false" stroked="true" strokeweight=".12pt" strokecolor="#000000">
              <v:stroke dashstyle="solid"/>
            </v:rect>
            <v:shape style="position:absolute;left:4016;top:5996;width:754;height:180" type="#_x0000_t75" stroked="false">
              <v:imagedata r:id="rId13" o:title=""/>
            </v:shape>
            <v:shape style="position:absolute;left:4131;top:6243;width:543;height:178" type="#_x0000_t75" stroked="false">
              <v:imagedata r:id="rId14" o:title=""/>
            </v:shape>
            <v:shape style="position:absolute;left:4287;top:4731;width:368;height:176" type="#_x0000_t75" stroked="false">
              <v:imagedata r:id="rId15" o:title=""/>
            </v:shape>
            <v:line style="position:absolute" from="4938,4477" to="3856,4477" stroked="true" strokeweight=".12pt" strokecolor="#000000">
              <v:stroke dashstyle="solid"/>
            </v:line>
            <v:line style="position:absolute" from="3856,4477" to="3856,5164" stroked="true" strokeweight=".12pt" strokecolor="#000000">
              <v:stroke dashstyle="solid"/>
            </v:line>
            <v:line style="position:absolute" from="3856,5164" to="4938,5164" stroked="true" strokeweight=".12pt" strokecolor="#000000">
              <v:stroke dashstyle="solid"/>
            </v:line>
            <v:line style="position:absolute" from="4938,5164" to="4938,4477" stroked="true" strokeweight=".12pt" strokecolor="#000000">
              <v:stroke dashstyle="solid"/>
            </v:line>
            <v:line style="position:absolute" from="7115,3248" to="6032,3248" stroked="true" strokeweight=".12pt" strokecolor="#000000">
              <v:stroke dashstyle="solid"/>
            </v:line>
            <v:line style="position:absolute" from="6032,3248" to="6032,3935" stroked="true" strokeweight=".12pt" strokecolor="#000000">
              <v:stroke dashstyle="solid"/>
            </v:line>
            <v:line style="position:absolute" from="6032,3935" to="7115,3935" stroked="true" strokeweight=".12pt" strokecolor="#000000">
              <v:stroke dashstyle="solid"/>
            </v:line>
            <v:line style="position:absolute" from="7115,3935" to="7115,3248" stroked="true" strokeweight=".12pt" strokecolor="#000000">
              <v:stroke dashstyle="solid"/>
            </v:line>
            <v:line style="position:absolute" from="6572,1967" to="6572,3248" stroked="true" strokeweight=".12pt" strokecolor="#000000">
              <v:stroke dashstyle="solid"/>
            </v:line>
            <v:line style="position:absolute" from="4386,3594" to="6032,3594" stroked="true" strokeweight=".12pt" strokecolor="#000000">
              <v:stroke dashstyle="solid"/>
            </v:line>
            <v:line style="position:absolute" from="4396,3606" to="4396,4477" stroked="true" strokeweight=".12pt" strokecolor="#000000">
              <v:stroke dashstyle="solid"/>
            </v:line>
            <v:line style="position:absolute" from="4396,5164" to="4396,5886" stroked="true" strokeweight=".12pt" strokecolor="#000000">
              <v:stroke dashstyle="solid"/>
            </v:line>
            <v:shape style="position:absolute;left:4362;top:5878;width:68;height:104" coordorigin="4362,5879" coordsize="68,104" path="m4429,5879l4362,5879,4396,5982,4429,5879xe" filled="true" fillcolor="#000000" stroked="false">
              <v:path arrowok="t"/>
              <v:fill type="solid"/>
            </v:shape>
            <v:line style="position:absolute" from="534,2754" to="6,2754" stroked="true" strokeweight=".12pt" strokecolor="#000000">
              <v:stroke dashstyle="solid"/>
            </v:line>
            <v:line style="position:absolute" from="2687,2816" to="1616,2816" stroked="true" strokeweight=".12pt" strokecolor="#000000">
              <v:stroke dashstyle="solid"/>
            </v:line>
            <v:line style="position:absolute" from="8401,3594" to="7115,3594" stroked="true" strokeweight=".12pt" strokecolor="#000000">
              <v:stroke dashstyle="solid"/>
            </v:line>
            <v:line style="position:absolute" from="3908,875" to="2992,875" stroked="true" strokeweight=".12pt" strokecolor="#000000">
              <v:stroke dashstyle="solid"/>
            </v:line>
            <v:line style="position:absolute" from="5087,563" to="4004,563" stroked="true" strokeweight=".12pt" strokecolor="#000000">
              <v:stroke dashstyle="solid"/>
            </v:line>
            <v:line style="position:absolute" from="4004,563" to="4004,1249" stroked="true" strokeweight=".12pt" strokecolor="#000000">
              <v:stroke dashstyle="solid"/>
            </v:line>
            <v:line style="position:absolute" from="4004,1249" to="5087,1249" stroked="true" strokeweight=".12pt" strokecolor="#000000">
              <v:stroke dashstyle="solid"/>
            </v:line>
            <v:line style="position:absolute" from="5087,1249" to="5087,563" stroked="true" strokeweight=".12pt" strokecolor="#000000">
              <v:stroke dashstyle="solid"/>
            </v:line>
            <v:shape style="position:absolute;left:3901;top:841;width:104;height:70" coordorigin="3901,841" coordsize="104,70" path="m3901,841l3901,911,4004,875,3901,841xe" filled="true" fillcolor="#000000" stroked="false">
              <v:path arrowok="t"/>
              <v:fill type="solid"/>
            </v:shape>
            <v:shape style="position:absolute;left:9975;top:1635;width:620;height:135" coordorigin="9976,1636" coordsize="620,135" path="m10595,1770l10554,1698,10475,1657,10374,1640,10319,1636,10259,1636,10151,1645,10060,1676,10000,1722,9983,1746,9976,1770e" filled="false" stroked="true" strokeweight=".12pt" strokecolor="#000000">
              <v:path arrowok="t"/>
              <v:stroke dashstyle="solid"/>
            </v:shape>
            <v:line style="position:absolute" from="10288,1636" to="10288,978" stroked="true" strokeweight=".12pt" strokecolor="#000000">
              <v:stroke dashstyle="solid"/>
            </v:line>
            <v:line style="position:absolute" from="10866,988" to="10278,988" stroked="true" strokeweight=".12pt" strokecolor="#000000">
              <v:stroke dashstyle="solid"/>
            </v:line>
            <v:line style="position:absolute" from="12044,644" to="10962,644" stroked="true" strokeweight=".12pt" strokecolor="#000000">
              <v:stroke dashstyle="solid"/>
            </v:line>
            <v:line style="position:absolute" from="10962,644" to="10962,1331" stroked="true" strokeweight=".12pt" strokecolor="#000000">
              <v:stroke dashstyle="solid"/>
            </v:line>
            <v:line style="position:absolute" from="10962,1331" to="12044,1331" stroked="true" strokeweight=".12pt" strokecolor="#000000">
              <v:stroke dashstyle="solid"/>
            </v:line>
            <v:line style="position:absolute" from="12044,1331" to="12044,644" stroked="true" strokeweight=".12pt" strokecolor="#000000">
              <v:stroke dashstyle="solid"/>
            </v:line>
            <v:shape style="position:absolute;left:10858;top:954;width:104;height:70" coordorigin="10859,954" coordsize="104,70" path="m10859,954l10859,1024,10962,988,10859,954xe" filled="true" fillcolor="#000000" stroked="false">
              <v:path arrowok="t"/>
              <v:fill type="solid"/>
            </v:shape>
            <v:shape style="position:absolute;left:9807;top:3541;width:168;height:60" coordorigin="9808,3541" coordsize="168,60" path="m9808,3541l9808,3601,9976,3572,9808,3541xe" filled="true" fillcolor="#000000" stroked="false">
              <v:path arrowok="t"/>
              <v:fill type="solid"/>
            </v:shape>
            <v:shape style="position:absolute;left:9807;top:3541;width:168;height:60" coordorigin="9808,3541" coordsize="168,60" path="m9808,3541l9976,3572,9808,3601,9808,3541xe" filled="false" stroked="true" strokeweight=".12pt" strokecolor="#000000">
              <v:path arrowok="t"/>
              <v:stroke dashstyle="solid"/>
            </v:shape>
            <v:line style="position:absolute" from="8864,2593" to="9976,2593" stroked="true" strokeweight=".12pt" strokecolor="#000000">
              <v:stroke dashstyle="solid"/>
            </v:line>
            <v:line style="position:absolute" from="9976,4273" to="8406,4273" stroked="true" strokeweight=".12pt" strokecolor="#000000">
              <v:stroke dashstyle="solid"/>
            </v:line>
            <v:shape style="position:absolute;left:9975;top:5374;width:620;height:135" coordorigin="9976,5375" coordsize="620,135" path="m10595,5375l10554,5444,10475,5485,10374,5502,10319,5509,10259,5509,10204,5502,10151,5497,10060,5468,10000,5420,9983,5396,9976,5375e" filled="false" stroked="true" strokeweight=".12pt" strokecolor="#000000">
              <v:path arrowok="t"/>
              <v:stroke dashstyle="solid"/>
            </v:shape>
            <v:line style="position:absolute" from="9976,1770" to="9976,5375" stroked="true" strokeweight=".12pt" strokecolor="#000000">
              <v:stroke dashstyle="solid"/>
            </v:line>
            <v:line style="position:absolute" from="11346,4708" to="10451,4708" stroked="true" strokeweight=".12pt" strokecolor="#000000">
              <v:stroke dashstyle="solid"/>
            </v:line>
            <v:line style="position:absolute" from="10595,1770" to="10595,5375" stroked="true" strokeweight=".12pt" strokecolor="#000000">
              <v:stroke dashstyle="solid"/>
            </v:line>
            <v:line style="position:absolute" from="10451,4708" to="10024,4708" stroked="true" strokeweight=".12pt" strokecolor="#000000">
              <v:stroke dashstyle="solid"/>
            </v:line>
            <v:line style="position:absolute" from="10024,5156" to="11346,5156" stroked="true" strokeweight=".12pt" strokecolor="#000000">
              <v:stroke dashstyle="solid"/>
            </v:line>
            <v:line style="position:absolute" from="10024,4708" to="10559,4847" stroked="true" strokeweight=".12pt" strokecolor="#000000">
              <v:stroke dashstyle="solid"/>
            </v:line>
            <v:line style="position:absolute" from="10559,5017" to="10024,5156" stroked="true" strokeweight=".12pt" strokecolor="#000000">
              <v:stroke dashstyle="solid"/>
            </v:line>
            <v:line style="position:absolute" from="10559,4847" to="10024,4912" stroked="true" strokeweight=".12pt" strokecolor="#000000">
              <v:stroke dashstyle="solid"/>
            </v:line>
            <v:line style="position:absolute" from="10024,4912" to="10559,5017" stroked="true" strokeweight=".12pt" strokecolor="#000000">
              <v:stroke dashstyle="solid"/>
            </v:line>
            <v:line style="position:absolute" from="9548,5514" to="9548,4384" stroked="true" strokeweight=".12pt" strokecolor="#000000">
              <v:stroke dashstyle="solid"/>
            </v:line>
            <v:line style="position:absolute" from="9976,3572" to="9548,3572" stroked="true" strokeweight=".12pt" strokecolor="#000000">
              <v:stroke dashstyle="solid"/>
            </v:line>
            <v:line style="position:absolute" from="1,1" to="8862,1" stroked="true" strokeweight=".12pt" strokecolor="#000000">
              <v:stroke dashstyle="solid"/>
            </v:line>
            <v:line style="position:absolute" from="8864,8" to="8864,2596" stroked="true" strokeweight=".12pt" strokecolor="#000000">
              <v:stroke dashstyle="solid"/>
            </v:line>
            <v:line style="position:absolute" from="8401,3594" to="8401,4280" stroked="true" strokeweight=".12pt" strokecolor="#000000">
              <v:stroke dashstyle="solid"/>
            </v:line>
            <v:shape style="position:absolute;left:385;top:2725;width:149;height:53" coordorigin="385,2725" coordsize="149,53" path="m385,2725l385,2778,534,2754,385,2725xe" filled="true" fillcolor="#000000" stroked="false">
              <v:path arrowok="t"/>
              <v:fill type="solid"/>
            </v:shape>
            <v:shape style="position:absolute;left:385;top:2725;width:149;height:53" coordorigin="385,2725" coordsize="149,53" path="m385,2725l534,2754,385,2778,385,2725xe" filled="false" stroked="true" strokeweight=".12pt" strokecolor="#000000">
              <v:path arrowok="t"/>
              <v:stroke dashstyle="solid"/>
            </v:shape>
            <v:shape style="position:absolute;left:7114;top:3565;width:156;height:53" coordorigin="7115,3565" coordsize="156,53" path="m7271,3565l7115,3594,7271,3618,7271,3565xe" filled="true" fillcolor="#000000" stroked="false">
              <v:path arrowok="t"/>
              <v:fill type="solid"/>
            </v:shape>
            <v:shape style="position:absolute;left:7114;top:3565;width:156;height:53" coordorigin="7115,3565" coordsize="156,53" path="m7271,3618l7115,3594,7271,3565,7271,3618xe" filled="false" stroked="true" strokeweight=".12pt" strokecolor="#000000">
              <v:path arrowok="t"/>
              <v:stroke dashstyle="solid"/>
            </v:shape>
            <v:shape style="position:absolute;left:1057;top:2298;width:44;height:116" coordorigin="1057,2298" coordsize="44,116" path="m1100,2298l1057,2298,1076,2413,1100,2298xe" filled="true" fillcolor="#000000" stroked="false">
              <v:path arrowok="t"/>
              <v:fill type="solid"/>
            </v:shape>
            <v:shape style="position:absolute;left:1057;top:2298;width:44;height:116" coordorigin="1057,2298" coordsize="44,116" path="m1057,2298l1100,2298,1076,2413,1057,2298xe" filled="false" stroked="true" strokeweight=".12pt" strokecolor="#000000">
              <v:path arrowok="t"/>
              <v:stroke dashstyle="solid"/>
            </v:shape>
            <v:shape style="position:absolute;left:6548;top:3138;width:48;height:111" coordorigin="6548,3138" coordsize="48,111" path="m6596,3138l6548,3138,6572,3248,6596,3138xe" filled="true" fillcolor="#000000" stroked="false">
              <v:path arrowok="t"/>
              <v:fill type="solid"/>
            </v:shape>
            <v:shape style="position:absolute;left:6548;top:3138;width:48;height:111" coordorigin="6548,3138" coordsize="48,111" path="m6548,3138l6596,3138,6572,3248,6548,3138xe" filled="false" stroked="true" strokeweight=".12pt" strokecolor="#000000">
              <v:path arrowok="t"/>
              <v:stroke dashstyle="solid"/>
            </v:shape>
            <v:shape style="position:absolute;left:4371;top:4366;width:44;height:111" coordorigin="4372,4367" coordsize="44,111" path="m4415,4367l4372,4367,4396,4477,4415,4367xe" filled="true" fillcolor="#000000" stroked="false">
              <v:path arrowok="t"/>
              <v:fill type="solid"/>
            </v:shape>
            <v:shape style="position:absolute;left:4371;top:4366;width:44;height:111" coordorigin="4372,4367" coordsize="44,111" path="m4372,4367l4415,4367,4396,4477,4372,4367xe" filled="false" stroked="true" strokeweight=".12pt" strokecolor="#000000">
              <v:path arrowok="t"/>
              <v:stroke dashstyle="solid"/>
            </v:shape>
            <v:shape style="position:absolute;left:1592;top:4947;width:749;height:178" type="#_x0000_t75" stroked="false">
              <v:imagedata r:id="rId16" o:title=""/>
            </v:shape>
            <v:shape style="position:absolute;left:1688;top:4479;width:560;height:176" type="#_x0000_t75" stroked="false">
              <v:imagedata r:id="rId17" o:title=""/>
            </v:shape>
            <v:shape style="position:absolute;left:9548;top:4167;width:84;height:216" coordorigin="9548,4168" coordsize="84,216" path="m9548,4384l9608,4355,9616,4338,9628,4321,9632,4302,9632,4244,9628,4228,9616,4208,9608,4196,9592,4187,9580,4175,9568,4168,9548,4168e" filled="false" stroked="true" strokeweight=".12pt" strokecolor="#000000">
              <v:path arrowok="t"/>
              <v:stroke dashstyle="solid"/>
            </v:shape>
            <v:line style="position:absolute" from="9548,4168" to="9548,3572" stroked="true" strokeweight=".12pt" strokecolor="#000000">
              <v:stroke dashstyle="solid"/>
            </v:line>
            <v:shape style="position:absolute;left:2492;top:4683;width:176;height:58" coordorigin="2492,4684" coordsize="176,58" path="m2492,4684l2492,4741,2668,4712,2492,4684xe" filled="true" fillcolor="#00ff3f" stroked="false">
              <v:path arrowok="t"/>
              <v:fill type="solid"/>
            </v:shape>
            <v:shape style="position:absolute;left:2492;top:4683;width:176;height:58" coordorigin="2492,4684" coordsize="176,58" path="m2492,4684l2668,4712,2492,4741,2492,4684xe" filled="false" stroked="true" strokeweight=".12pt" strokecolor="#000000">
              <v:path arrowok="t"/>
              <v:stroke dashstyle="solid"/>
            </v:shape>
            <v:shape style="position:absolute;left:2506;top:5125;width:156;height:53" coordorigin="2507,5125" coordsize="156,53" path="m2663,5125l2507,5149,2663,5178,2663,5125xe" filled="true" fillcolor="#00ff3f" stroked="false">
              <v:path arrowok="t"/>
              <v:fill type="solid"/>
            </v:shape>
            <v:shape style="position:absolute;left:10683;top:4911;width:752;height:178" type="#_x0000_t75" stroked="false">
              <v:imagedata r:id="rId18" o:title=""/>
            </v:shape>
            <v:shape style="position:absolute;left:10782;top:4479;width:560;height:176" type="#_x0000_t75" stroked="false">
              <v:imagedata r:id="rId17" o:title=""/>
            </v:shape>
            <v:shape style="position:absolute;left:2492;top:5125;width:156;height:53" coordorigin="2492,5125" coordsize="156,53" path="m2648,5178l2492,5149,2648,5125,2648,5178xe" filled="false" stroked="true" strokeweight=".12pt" strokecolor="#000000">
              <v:path arrowok="t"/>
              <v:stroke dashstyle="solid"/>
            </v:shape>
            <v:shape style="position:absolute;left:10928;top:5125;width:156;height:53" coordorigin="10928,5125" coordsize="156,53" path="m10928,5125l10928,5178,11084,5149,10928,5125xe" filled="true" fillcolor="#00ff3f" stroked="false">
              <v:path arrowok="t"/>
              <v:fill type="solid"/>
            </v:shape>
            <v:shape style="position:absolute;left:10928;top:5125;width:156;height:53" coordorigin="10928,5125" coordsize="156,53" path="m10928,5125l11084,5149,10928,5178,10928,5125xe" filled="false" stroked="true" strokeweight=".12pt" strokecolor="#000000">
              <v:path arrowok="t"/>
              <v:stroke dashstyle="solid"/>
            </v:shape>
            <v:shape style="position:absolute;left:10849;top:4688;width:156;height:53" coordorigin="10849,4688" coordsize="156,53" path="m11005,4688l10849,4720,11005,4741,11005,4688xe" filled="true" fillcolor="#00ff3f" stroked="false">
              <v:path arrowok="t"/>
              <v:fill type="solid"/>
            </v:shape>
            <v:shape style="position:absolute;left:10849;top:4695;width:156;height:24" coordorigin="10849,4696" coordsize="156,24" path="m11005,4720l10849,4710,11005,4696,11005,4720xe" filled="false" stroked="true" strokeweight=".12pt" strokecolor="#000000">
              <v:path arrowok="t"/>
              <v:stroke dashstyle="solid"/>
            </v:shape>
            <v:shape style="position:absolute;left:2998;top:2250;width:176;height:178" type="#_x0000_t75" stroked="false">
              <v:imagedata r:id="rId19" o:title=""/>
            </v:shape>
            <v:shape style="position:absolute;left:2998;top:2895;width:176;height:173" type="#_x0000_t75" stroked="false">
              <v:imagedata r:id="rId20" o:title=""/>
            </v:shape>
            <v:shape style="position:absolute;left:2998;top:3534;width:178;height:173" type="#_x0000_t75" stroked="false">
              <v:imagedata r:id="rId21" o:title=""/>
            </v:shape>
            <v:shape style="position:absolute;left:5720;top:632;width:754;height:176" type="#_x0000_t75" stroked="false">
              <v:imagedata r:id="rId22" o:title=""/>
            </v:shape>
            <v:shape style="position:absolute;left:5792;top:994;width:752;height:176" type="#_x0000_t75" stroked="false">
              <v:imagedata r:id="rId23" o:title=""/>
            </v:shape>
            <v:line style="position:absolute" from="5087,733" to="5617,733" stroked="true" strokeweight=".12pt" strokecolor="#000000">
              <v:stroke dashstyle="solid"/>
            </v:line>
            <v:shape style="position:absolute;left:5086;top:1062;width:128;height:34" coordorigin="5087,1062" coordsize="128,34" path="m5214,1062l5087,1079,5214,1096,5214,1062xe" filled="true" fillcolor="#00ff3f" stroked="false">
              <v:path arrowok="t"/>
              <v:fill type="solid"/>
            </v:shape>
            <v:shape style="position:absolute;left:5086;top:1062;width:128;height:34" coordorigin="5087,1062" coordsize="128,34" path="m5214,1096l5214,1062,5087,1079,5214,1096xe" filled="false" stroked="true" strokeweight=".12pt" strokecolor="#000000">
              <v:path arrowok="t"/>
              <v:stroke dashstyle="solid"/>
            </v:shape>
            <v:shape style="position:absolute;left:5485;top:716;width:132;height:41" coordorigin="5485,716" coordsize="132,41" path="m5485,716l5485,757,5617,733,5485,716xe" filled="true" fillcolor="#00ff3f" stroked="false">
              <v:path arrowok="t"/>
              <v:fill type="solid"/>
            </v:shape>
            <v:shape style="position:absolute;left:5485;top:716;width:132;height:41" coordorigin="5485,716" coordsize="132,41" path="m5485,757l5485,716,5617,733,5485,757xe" filled="false" stroked="true" strokeweight=".12pt" strokecolor="#000000">
              <v:path arrowok="t"/>
              <v:stroke dashstyle="solid"/>
            </v:shape>
            <v:line style="position:absolute" from="5087,1079" to="5641,1079" stroked="true" strokeweight=".12pt" strokecolor="#000000">
              <v:stroke dashstyle="solid"/>
            </v:line>
            <v:line style="position:absolute" from="1,4" to="1,2754" stroked="true" strokeweight=".12pt" strokecolor="#000000">
              <v:stroke dashstyle="solid"/>
            </v:line>
            <v:line style="position:absolute" from="11197,2238" to="10595,2238" stroked="true" strokeweight=".12pt" strokecolor="#000000">
              <v:stroke dashstyle="solid"/>
            </v:line>
            <v:shape style="position:absolute;left:10594;top:2214;width:156;height:46" coordorigin="10595,2214" coordsize="156,46" path="m10751,2214l10595,2238,10751,2260,10751,2214xe" filled="true" fillcolor="#000000" stroked="false">
              <v:path arrowok="t"/>
              <v:fill type="solid"/>
            </v:shape>
            <v:shape style="position:absolute;left:10594;top:2214;width:156;height:46" coordorigin="10595,2214" coordsize="156,46" path="m10751,2260l10595,2238,10751,2214,10751,2260xe" filled="false" stroked="true" strokeweight=".12pt" strokecolor="#000000">
              <v:path arrowok="t"/>
              <v:stroke dashstyle="solid"/>
            </v:shape>
            <v:line style="position:absolute" from="11504,1837" to="11504,1331" stroked="true" strokeweight=".12pt" strokecolor="#000000">
              <v:stroke dashstyle="solid"/>
            </v:line>
            <v:shape style="position:absolute;left:11468;top:1830;width:70;height:104" coordorigin="11468,1830" coordsize="70,104" path="m11538,1830l11468,1830,11504,1933,11538,1830xe" filled="true" fillcolor="#000000" stroked="false">
              <v:path arrowok="t"/>
              <v:fill type="solid"/>
            </v:shape>
            <v:line style="position:absolute" from="12044,815" to="12575,815" stroked="true" strokeweight=".12pt" strokecolor="#000000">
              <v:stroke dashstyle="solid"/>
            </v:line>
            <v:shape style="position:absolute;left:12044;top:1136;width:128;height:41" coordorigin="12044,1136" coordsize="128,41" path="m12172,1136l12044,1160,12172,1177,12172,1136xe" filled="true" fillcolor="#00ff3f" stroked="false">
              <v:path arrowok="t"/>
              <v:fill type="solid"/>
            </v:shape>
            <v:shape style="position:absolute;left:12044;top:1136;width:128;height:41" coordorigin="12044,1136" coordsize="128,41" path="m12172,1177l12172,1136,12044,1160,12172,1177xe" filled="false" stroked="true" strokeweight=".12pt" strokecolor="#000000">
              <v:path arrowok="t"/>
              <v:stroke dashstyle="solid"/>
            </v:shape>
            <v:shape style="position:absolute;left:12440;top:798;width:135;height:41" coordorigin="12440,798" coordsize="135,41" path="m12440,798l12440,839,12575,815,12440,798xe" filled="true" fillcolor="#00ff3f" stroked="false">
              <v:path arrowok="t"/>
              <v:fill type="solid"/>
            </v:shape>
            <v:shape style="position:absolute;left:12440;top:798;width:135;height:41" coordorigin="12440,798" coordsize="135,41" path="m12440,839l12440,798,12575,815,12440,839xe" filled="false" stroked="true" strokeweight=".12pt" strokecolor="#000000">
              <v:path arrowok="t"/>
              <v:stroke dashstyle="solid"/>
            </v:shape>
            <v:line style="position:absolute" from="12044,1160" to="12599,1160" stroked="true" strokeweight=".12pt" strokecolor="#000000">
              <v:stroke dashstyle="solid"/>
            </v:line>
            <v:shape style="position:absolute;left:5552;top:4546;width:754;height:176" type="#_x0000_t75" stroked="false">
              <v:imagedata r:id="rId24" o:title=""/>
            </v:shape>
            <v:shape style="position:absolute;left:5588;top:4909;width:754;height:176" type="#_x0000_t75" stroked="false">
              <v:imagedata r:id="rId25" o:title=""/>
            </v:shape>
            <v:line style="position:absolute" from="4938,4648" to="5466,4648" stroked="true" strokeweight=".12pt" strokecolor="#000000">
              <v:stroke dashstyle="solid"/>
            </v:line>
            <v:shape style="position:absolute;left:4938;top:4976;width:125;height:34" coordorigin="4938,4976" coordsize="125,34" path="m5063,4976l4938,4993,5063,5010,5063,4976xe" filled="true" fillcolor="#00ff3f" stroked="false">
              <v:path arrowok="t"/>
              <v:fill type="solid"/>
            </v:shape>
            <v:shape style="position:absolute;left:4938;top:4976;width:125;height:34" coordorigin="4938,4976" coordsize="125,34" path="m5063,5010l5063,4976,4938,4993,5063,5010xe" filled="false" stroked="true" strokeweight=".12pt" strokecolor="#000000">
              <v:path arrowok="t"/>
              <v:stroke dashstyle="solid"/>
            </v:shape>
            <v:shape style="position:absolute;left:5334;top:4630;width:132;height:41" coordorigin="5334,4631" coordsize="132,41" path="m5334,4631l5334,4672,5466,4648,5334,4631xe" filled="true" fillcolor="#00ff3f" stroked="false">
              <v:path arrowok="t"/>
              <v:fill type="solid"/>
            </v:shape>
            <v:shape style="position:absolute;left:5334;top:4630;width:132;height:41" coordorigin="5334,4631" coordsize="132,41" path="m5334,4672l5334,4631,5466,4648,5334,4672xe" filled="false" stroked="true" strokeweight=".12pt" strokecolor="#000000">
              <v:path arrowok="t"/>
              <v:stroke dashstyle="solid"/>
            </v:shape>
            <v:line style="position:absolute" from="4938,4993" to="5490,4993" stroked="true" strokeweight=".12pt" strokecolor="#000000">
              <v:stroke dashstyle="solid"/>
            </v:line>
            <v:line style="position:absolute" from="6572,3935" to="6572,5514" stroked="true" strokeweight=".12pt" strokecolor="#000000">
              <v:stroke dashstyle="solid"/>
            </v:line>
            <v:line style="position:absolute" from="6572,5514" to="9548,5514" stroked="true" strokeweight=".12pt" strokecolor="#000000">
              <v:stroke dashstyle="solid"/>
            </v:line>
            <v:shape style="position:absolute;left:10251;top:2250;width:176;height:178" type="#_x0000_t75" stroked="false">
              <v:imagedata r:id="rId19" o:title=""/>
            </v:shape>
            <v:shape style="position:absolute;left:10251;top:2900;width:176;height:173" type="#_x0000_t75" stroked="false">
              <v:imagedata r:id="rId20" o:title=""/>
            </v:shape>
            <v:shape style="position:absolute;left:10251;top:3526;width:178;height:173" type="#_x0000_t75" stroked="false">
              <v:imagedata r:id="rId21" o:title=""/>
            </v:shape>
            <v:shape style="position:absolute;left:10285;top:4141;width:111;height:144" type="#_x0000_t75" stroked="false">
              <v:imagedata r:id="rId26" o:title=""/>
            </v:shape>
            <v:shape style="position:absolute;left:3032;top:4167;width:53;height:147" type="#_x0000_t75" stroked="false">
              <v:imagedata r:id="rId27" o:title=""/>
            </v:shape>
            <v:shape style="position:absolute;left:1683;top:6171;width:413;height:132" type="#_x0000_t75" stroked="false">
              <v:imagedata r:id="rId28" o:title=""/>
            </v:shape>
            <v:line style="position:absolute" from="1084,3092" to="1084,3707" stroked="true" strokeweight=".24pt" strokecolor="#000000">
              <v:stroke dashstyle="solid"/>
            </v:line>
            <v:shape style="position:absolute;left:1604;top:3478;width:560;height:180" type="#_x0000_t75" stroked="false">
              <v:imagedata r:id="rId9" o:title=""/>
            </v:shape>
            <v:rect style="position:absolute;left:4148;top:1743;width:658;height:466" filled="false" stroked="true" strokeweight=".12pt" strokecolor="#000000">
              <v:stroke dashstyle="solid"/>
            </v:rect>
            <v:shape style="position:absolute;left:4215;top:1880;width:540;height:178" type="#_x0000_t75" stroked="false">
              <v:imagedata r:id="rId29" o:title=""/>
            </v:shape>
            <v:line style="position:absolute" from="4806,1974" to="6572,1967" stroked="true" strokeweight=".24pt" strokecolor="#000000">
              <v:stroke dashstyle="solid"/>
            </v:line>
            <v:line style="position:absolute" from="4806,1866" to="5149,1729" stroked="true" strokeweight=".24pt" strokecolor="#000000">
              <v:stroke dashstyle="solid"/>
            </v:line>
            <v:shape style="position:absolute;left:5108;top:1659;width:209;height:137" coordorigin="5108,1660" coordsize="209,137" path="m5317,1660l5108,1672,5156,1796,5317,1660xe" filled="true" fillcolor="#000000" stroked="false">
              <v:path arrowok="t"/>
              <v:fill type="solid"/>
            </v:shape>
            <v:shape style="position:absolute;left:5367;top:1532;width:368;height:137" type="#_x0000_t75" stroked="false">
              <v:imagedata r:id="rId30" o:title=""/>
            </v:shape>
            <v:rect style="position:absolute;left:11197;top:1938;width:658;height:468" filled="false" stroked="true" strokeweight=".12pt" strokecolor="#000000">
              <v:stroke dashstyle="solid"/>
            </v:rect>
            <v:shape style="position:absolute;left:11264;top:2074;width:540;height:178" type="#_x0000_t75" stroked="false">
              <v:imagedata r:id="rId29" o:title=""/>
            </v:shape>
            <v:line style="position:absolute" from="11867,2173" to="12208,2034" stroked="true" strokeweight=".24pt" strokecolor="#000000">
              <v:stroke dashstyle="solid"/>
            </v:line>
            <v:shape style="position:absolute;left:12169;top:1966;width:209;height:137" coordorigin="12169,1967" coordsize="209,137" path="m12378,1967l12169,1979,12217,2104,12378,1967xe" filled="true" fillcolor="#000000" stroked="false">
              <v:path arrowok="t"/>
              <v:fill type="solid"/>
            </v:shape>
            <v:shape style="position:absolute;left:12428;top:1844;width:380;height:137" type="#_x0000_t75" stroked="false">
              <v:imagedata r:id="rId31" o:title=""/>
            </v:shape>
            <v:line style="position:absolute" from="4897,6224" to="5238,6088" stroked="true" strokeweight=".24pt" strokecolor="#000000">
              <v:stroke dashstyle="solid"/>
            </v:line>
            <v:shape style="position:absolute;left:5199;top:6020;width:209;height:135" coordorigin="5200,6020" coordsize="209,135" path="m5408,6020l5200,6032,5248,6155,5408,6020xe" filled="true" fillcolor="#000000" stroked="false">
              <v:path arrowok="t"/>
              <v:fill type="solid"/>
            </v:shape>
            <v:shape style="position:absolute;left:5458;top:5898;width:370;height:137" type="#_x0000_t75" stroked="false">
              <v:imagedata r:id="rId32" o:title=""/>
            </v:shape>
            <v:line style="position:absolute" from="4489,1249" to="4489,1561" stroked="true" strokeweight=".24pt" strokecolor="#000000">
              <v:stroke dashstyle="solid"/>
            </v:line>
            <v:shape style="position:absolute;left:4422;top:1544;width:132;height:200" coordorigin="4422,1544" coordsize="132,200" path="m4554,1544l4422,1544,4489,1744,4554,1544xe" filled="true" fillcolor="#000000" stroked="false">
              <v:path arrowok="t"/>
              <v:fill type="solid"/>
            </v:shape>
            <v:line style="position:absolute" from="11526,2406" to="11526,2802" stroked="true" strokeweight=".24pt" strokecolor="#000000">
              <v:stroke dashstyle="solid"/>
            </v:line>
            <v:shape style="position:absolute;left:11461;top:2785;width:132;height:132" coordorigin="11461,2785" coordsize="132,132" path="m11593,2785l11461,2785,11526,2917,11593,2785xe" filled="true" fillcolor="#000000" stroked="false">
              <v:path arrowok="t"/>
              <v:fill type="solid"/>
            </v:shape>
            <v:shape style="position:absolute;left:11355;top:3054;width:329;height:137" type="#_x0000_t75" stroked="false">
              <v:imagedata r:id="rId33" o:title=""/>
            </v:shape>
          </v:group>
        </w:pict>
      </w:r>
      <w:r>
        <w:rPr>
          <w:sz w:val="20"/>
        </w:rPr>
      </w:r>
    </w:p>
    <w:p>
      <w:pPr>
        <w:pStyle w:val="BodyText"/>
        <w:rPr>
          <w:sz w:val="20"/>
        </w:rPr>
      </w:pPr>
    </w:p>
    <w:p>
      <w:pPr>
        <w:pStyle w:val="BodyText"/>
        <w:spacing w:before="6"/>
        <w:rPr>
          <w:sz w:val="16"/>
        </w:rPr>
      </w:pPr>
    </w:p>
    <w:p>
      <w:pPr>
        <w:tabs>
          <w:tab w:pos="4293" w:val="left" w:leader="none"/>
        </w:tabs>
        <w:spacing w:before="62"/>
        <w:ind w:left="2954" w:right="0" w:firstLine="0"/>
        <w:jc w:val="left"/>
        <w:rPr>
          <w:b/>
          <w:sz w:val="28"/>
        </w:rPr>
      </w:pPr>
      <w:r>
        <w:rPr>
          <w:b/>
          <w:sz w:val="28"/>
        </w:rPr>
        <w:t>图</w:t>
      </w:r>
      <w:r>
        <w:rPr>
          <w:b/>
          <w:spacing w:val="-71"/>
          <w:sz w:val="28"/>
        </w:rPr>
        <w:t> </w:t>
      </w:r>
      <w:r>
        <w:rPr>
          <w:b/>
          <w:sz w:val="28"/>
        </w:rPr>
        <w:t>2-3-3</w:t>
        <w:tab/>
        <w:t>项目废乙腈提取乙腈生产工艺流程简图</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p>
      <w:pPr>
        <w:pStyle w:val="BodyText"/>
        <w:spacing w:line="20" w:lineRule="exact"/>
        <w:ind w:left="-1301"/>
        <w:rPr>
          <w:sz w:val="2"/>
        </w:rPr>
      </w:pPr>
      <w:r>
        <w:rPr>
          <w:sz w:val="2"/>
        </w:rPr>
        <w:pict>
          <v:group style="width:703.1pt;height:.5pt;mso-position-horizontal-relative:char;mso-position-vertical-relative:line" coordorigin="0,0" coordsize="14062,10">
            <v:line style="position:absolute" from="0,5" to="14062,5" stroked="true" strokeweight=".48pt" strokecolor="#000000">
              <v:stroke dashstyle="solid"/>
            </v:line>
          </v:group>
        </w:pict>
      </w:r>
      <w:r>
        <w:rPr>
          <w:sz w:val="2"/>
        </w:rPr>
      </w:r>
    </w:p>
    <w:p>
      <w:pPr>
        <w:spacing w:before="5"/>
        <w:ind w:left="0" w:right="1408" w:firstLine="0"/>
        <w:jc w:val="center"/>
        <w:rPr>
          <w:rFonts w:ascii="Times New Roman"/>
          <w:sz w:val="21"/>
        </w:rPr>
      </w:pPr>
      <w:r>
        <w:rPr>
          <w:rFonts w:ascii="Times New Roman"/>
          <w:w w:val="100"/>
          <w:sz w:val="21"/>
        </w:rPr>
        <w:t>1</w:t>
      </w:r>
    </w:p>
    <w:p>
      <w:pPr>
        <w:spacing w:after="0"/>
        <w:jc w:val="center"/>
        <w:rPr>
          <w:rFonts w:ascii="Times New Roman"/>
          <w:sz w:val="21"/>
        </w:rPr>
        <w:sectPr>
          <w:footerReference w:type="default" r:id="rId8"/>
          <w:pgSz w:w="16840" w:h="11910" w:orient="landscape"/>
          <w:pgMar w:footer="0" w:header="0" w:top="1100" w:bottom="280" w:left="2400" w:right="1560"/>
        </w:sectPr>
      </w:pPr>
    </w:p>
    <w:p>
      <w:pPr>
        <w:pStyle w:val="BodyText"/>
        <w:spacing w:line="364" w:lineRule="auto" w:before="102"/>
        <w:ind w:left="980" w:right="4859"/>
      </w:pPr>
      <w:r>
        <w:rPr/>
        <w:t>四、500 吨/年乙腈灌装项目1、工艺流程简述</w:t>
      </w:r>
    </w:p>
    <w:p>
      <w:pPr>
        <w:pStyle w:val="BodyText"/>
        <w:spacing w:line="364" w:lineRule="auto"/>
        <w:ind w:left="421" w:right="416" w:firstLine="559"/>
        <w:jc w:val="both"/>
      </w:pPr>
      <w:r>
        <w:rPr/>
        <w:t>为保证产品质量，杜绝环境污染，项目灌装设备采用全自动真空灌装流水线，所有工序都在密封设备中进行，通过密闭管道自动控制完成。具体工作原理为：玻璃瓶在灌装线上被传输带输送至灌装机， 首先玻璃瓶被预抽真空，抽走空气，然后乙腈在重力和真空的作用下流至玻璃瓶中，自动完成灌装；真空是有活塞真空泵产生的，真空抽走的是空气，因此排气不含乙腈。清洗水均使用纯水。</w:t>
      </w:r>
    </w:p>
    <w:p>
      <w:pPr>
        <w:pStyle w:val="BodyText"/>
        <w:spacing w:line="353" w:lineRule="exact"/>
        <w:ind w:left="980"/>
      </w:pPr>
      <w:r>
        <w:rPr/>
        <w:t>生产工艺流程如下：</w:t>
      </w:r>
    </w:p>
    <w:p>
      <w:pPr>
        <w:pStyle w:val="ListParagraph"/>
        <w:numPr>
          <w:ilvl w:val="0"/>
          <w:numId w:val="6"/>
        </w:numPr>
        <w:tabs>
          <w:tab w:pos="1402" w:val="left" w:leader="none"/>
        </w:tabs>
        <w:spacing w:line="364" w:lineRule="auto" w:before="185" w:after="0"/>
        <w:ind w:left="421" w:right="416" w:firstLine="559"/>
        <w:jc w:val="left"/>
        <w:rPr>
          <w:sz w:val="28"/>
        </w:rPr>
      </w:pPr>
      <w:r>
        <w:rPr>
          <w:spacing w:val="-5"/>
          <w:sz w:val="28"/>
        </w:rPr>
        <w:t>洗瓶：瓶子放到自动洗瓶机上，自动洗瓶机喷出水对瓶子进行清洗。</w:t>
      </w:r>
    </w:p>
    <w:p>
      <w:pPr>
        <w:pStyle w:val="ListParagraph"/>
        <w:numPr>
          <w:ilvl w:val="0"/>
          <w:numId w:val="6"/>
        </w:numPr>
        <w:tabs>
          <w:tab w:pos="1402" w:val="left" w:leader="none"/>
        </w:tabs>
        <w:spacing w:line="364" w:lineRule="auto" w:before="0" w:after="0"/>
        <w:ind w:left="421" w:right="416" w:firstLine="559"/>
        <w:jc w:val="left"/>
        <w:rPr>
          <w:sz w:val="28"/>
        </w:rPr>
      </w:pPr>
      <w:r>
        <w:rPr>
          <w:spacing w:val="-5"/>
          <w:sz w:val="28"/>
        </w:rPr>
        <w:t>烘干：洗完的瓶子放到传送带上，传送带带着瓶子进入蒸汽烘</w:t>
      </w:r>
      <w:r>
        <w:rPr>
          <w:spacing w:val="-4"/>
          <w:sz w:val="28"/>
        </w:rPr>
        <w:t>箱，烘箱内有热风，对瓶子进行干燥。</w:t>
      </w:r>
    </w:p>
    <w:p>
      <w:pPr>
        <w:pStyle w:val="ListParagraph"/>
        <w:numPr>
          <w:ilvl w:val="0"/>
          <w:numId w:val="6"/>
        </w:numPr>
        <w:tabs>
          <w:tab w:pos="1402" w:val="left" w:leader="none"/>
        </w:tabs>
        <w:spacing w:line="364" w:lineRule="auto" w:before="0" w:after="0"/>
        <w:ind w:left="421" w:right="416" w:firstLine="559"/>
        <w:jc w:val="left"/>
        <w:rPr>
          <w:sz w:val="28"/>
        </w:rPr>
      </w:pPr>
      <w:r>
        <w:rPr>
          <w:spacing w:val="-5"/>
          <w:sz w:val="28"/>
        </w:rPr>
        <w:t>灌装：烘干的瓶子通过传送带的传输到达灌装机，灌装机按照</w:t>
      </w:r>
      <w:r>
        <w:rPr>
          <w:spacing w:val="-4"/>
          <w:sz w:val="28"/>
        </w:rPr>
        <w:t>设定的容积进行自动灌装。</w:t>
      </w:r>
    </w:p>
    <w:p>
      <w:pPr>
        <w:pStyle w:val="ListParagraph"/>
        <w:numPr>
          <w:ilvl w:val="0"/>
          <w:numId w:val="6"/>
        </w:numPr>
        <w:tabs>
          <w:tab w:pos="1402" w:val="left" w:leader="none"/>
        </w:tabs>
        <w:spacing w:line="358" w:lineRule="exact" w:before="0" w:after="0"/>
        <w:ind w:left="1401" w:right="0" w:hanging="422"/>
        <w:jc w:val="left"/>
        <w:rPr>
          <w:sz w:val="28"/>
        </w:rPr>
      </w:pPr>
      <w:r>
        <w:rPr>
          <w:spacing w:val="-3"/>
          <w:sz w:val="28"/>
        </w:rPr>
        <w:t>旋盖：灌装后的瓶子经传送带送到旋盖机处，旋盖。</w:t>
      </w:r>
    </w:p>
    <w:p>
      <w:pPr>
        <w:pStyle w:val="ListParagraph"/>
        <w:numPr>
          <w:ilvl w:val="0"/>
          <w:numId w:val="6"/>
        </w:numPr>
        <w:tabs>
          <w:tab w:pos="1402" w:val="left" w:leader="none"/>
        </w:tabs>
        <w:spacing w:line="240" w:lineRule="auto" w:before="184" w:after="0"/>
        <w:ind w:left="1401" w:right="0" w:hanging="422"/>
        <w:jc w:val="left"/>
        <w:rPr>
          <w:sz w:val="28"/>
        </w:rPr>
      </w:pPr>
      <w:r>
        <w:rPr>
          <w:spacing w:val="-3"/>
          <w:sz w:val="28"/>
        </w:rPr>
        <w:t>贴标：灌装完的瓶子经过自动贴标机处，贴上标签。</w:t>
      </w:r>
    </w:p>
    <w:p>
      <w:pPr>
        <w:pStyle w:val="BodyText"/>
        <w:spacing w:before="186"/>
        <w:ind w:left="980"/>
      </w:pPr>
      <w:r>
        <w:rPr/>
        <w:t>2、工艺流程图</w:t>
      </w:r>
    </w:p>
    <w:p>
      <w:pPr>
        <w:pStyle w:val="BodyText"/>
        <w:spacing w:before="8"/>
        <w:rPr>
          <w:sz w:val="11"/>
        </w:rPr>
      </w:pPr>
      <w:r>
        <w:rPr/>
        <w:drawing>
          <wp:anchor distT="0" distB="0" distL="0" distR="0" allowOverlap="1" layoutInCell="1" locked="0" behindDoc="0" simplePos="0" relativeHeight="25">
            <wp:simplePos x="0" y="0"/>
            <wp:positionH relativeFrom="page">
              <wp:posOffset>1231114</wp:posOffset>
            </wp:positionH>
            <wp:positionV relativeFrom="paragraph">
              <wp:posOffset>119347</wp:posOffset>
            </wp:positionV>
            <wp:extent cx="5243792" cy="1665351"/>
            <wp:effectExtent l="0" t="0" r="0" b="0"/>
            <wp:wrapTopAndBottom/>
            <wp:docPr id="15" name="image28.png"/>
            <wp:cNvGraphicFramePr>
              <a:graphicFrameLocks noChangeAspect="1"/>
            </wp:cNvGraphicFramePr>
            <a:graphic>
              <a:graphicData uri="http://schemas.openxmlformats.org/drawingml/2006/picture">
                <pic:pic>
                  <pic:nvPicPr>
                    <pic:cNvPr id="16" name="image28.png"/>
                    <pic:cNvPicPr/>
                  </pic:nvPicPr>
                  <pic:blipFill>
                    <a:blip r:embed="rId35" cstate="print"/>
                    <a:stretch>
                      <a:fillRect/>
                    </a:stretch>
                  </pic:blipFill>
                  <pic:spPr>
                    <a:xfrm>
                      <a:off x="0" y="0"/>
                      <a:ext cx="5243792" cy="1665351"/>
                    </a:xfrm>
                    <a:prstGeom prst="rect">
                      <a:avLst/>
                    </a:prstGeom>
                  </pic:spPr>
                </pic:pic>
              </a:graphicData>
            </a:graphic>
          </wp:anchor>
        </w:drawing>
      </w:r>
    </w:p>
    <w:p>
      <w:pPr>
        <w:tabs>
          <w:tab w:pos="1899" w:val="left" w:leader="none"/>
        </w:tabs>
        <w:spacing w:before="109"/>
        <w:ind w:left="560" w:right="0" w:firstLine="0"/>
        <w:jc w:val="center"/>
        <w:rPr>
          <w:b/>
          <w:sz w:val="28"/>
        </w:rPr>
      </w:pPr>
      <w:r>
        <w:rPr>
          <w:b/>
          <w:sz w:val="28"/>
        </w:rPr>
        <w:t>图</w:t>
      </w:r>
      <w:r>
        <w:rPr>
          <w:b/>
          <w:spacing w:val="-71"/>
          <w:sz w:val="28"/>
        </w:rPr>
        <w:t> </w:t>
      </w:r>
      <w:r>
        <w:rPr>
          <w:b/>
          <w:sz w:val="28"/>
        </w:rPr>
        <w:t>2-3-4</w:t>
        <w:tab/>
        <w:t>项目乙腈灌装生产工艺流程及产污环节图</w:t>
      </w:r>
    </w:p>
    <w:p>
      <w:pPr>
        <w:pStyle w:val="ListParagraph"/>
        <w:numPr>
          <w:ilvl w:val="1"/>
          <w:numId w:val="4"/>
        </w:numPr>
        <w:tabs>
          <w:tab w:pos="917" w:val="left" w:leader="none"/>
        </w:tabs>
        <w:spacing w:line="240" w:lineRule="auto" w:before="186" w:after="0"/>
        <w:ind w:left="916" w:right="0" w:hanging="496"/>
        <w:jc w:val="left"/>
        <w:rPr>
          <w:b/>
          <w:sz w:val="28"/>
        </w:rPr>
      </w:pPr>
      <w:bookmarkStart w:name="_TOC_250056" w:id="12"/>
      <w:bookmarkEnd w:id="12"/>
      <w:r>
        <w:rPr>
          <w:b/>
          <w:sz w:val="28"/>
        </w:rPr>
        <w:t>主要设备</w:t>
      </w:r>
    </w:p>
    <w:p>
      <w:pPr>
        <w:spacing w:after="0" w:line="240" w:lineRule="auto"/>
        <w:jc w:val="left"/>
        <w:rPr>
          <w:sz w:val="28"/>
        </w:rPr>
        <w:sectPr>
          <w:footerReference w:type="default" r:id="rId34"/>
          <w:pgSz w:w="11910" w:h="16840"/>
          <w:pgMar w:footer="984" w:header="0" w:top="1580" w:bottom="1180" w:left="1280" w:right="1280"/>
          <w:pgNumType w:start="1"/>
        </w:sectPr>
      </w:pPr>
    </w:p>
    <w:p>
      <w:pPr>
        <w:pStyle w:val="BodyText"/>
        <w:spacing w:before="102"/>
        <w:ind w:left="980"/>
      </w:pPr>
      <w:r>
        <w:rPr/>
        <w:t>公司主要设备情况详见表 2-4-1。</w:t>
      </w:r>
    </w:p>
    <w:p>
      <w:pPr>
        <w:pStyle w:val="BodyText"/>
        <w:spacing w:before="1"/>
        <w:rPr>
          <w:sz w:val="24"/>
        </w:rPr>
      </w:pPr>
    </w:p>
    <w:p>
      <w:pPr>
        <w:tabs>
          <w:tab w:pos="2042" w:val="left" w:leader="none"/>
        </w:tabs>
        <w:spacing w:before="0" w:after="20"/>
        <w:ind w:left="0" w:right="1" w:firstLine="0"/>
        <w:jc w:val="center"/>
        <w:rPr>
          <w:b/>
          <w:sz w:val="28"/>
        </w:rPr>
      </w:pPr>
      <w:r>
        <w:rPr>
          <w:b/>
          <w:sz w:val="28"/>
        </w:rPr>
        <w:t>表</w:t>
      </w:r>
      <w:r>
        <w:rPr>
          <w:b/>
          <w:spacing w:val="-71"/>
          <w:sz w:val="28"/>
        </w:rPr>
        <w:t> </w:t>
      </w:r>
      <w:r>
        <w:rPr>
          <w:b/>
          <w:sz w:val="28"/>
        </w:rPr>
        <w:t>2-4-1（1）</w:t>
        <w:tab/>
        <w:t>2000t/a</w:t>
      </w:r>
      <w:r>
        <w:rPr>
          <w:b/>
          <w:spacing w:val="-73"/>
          <w:sz w:val="28"/>
        </w:rPr>
        <w:t> </w:t>
      </w:r>
      <w:r>
        <w:rPr>
          <w:b/>
          <w:sz w:val="28"/>
        </w:rPr>
        <w:t>乙腈生产主要生产设备一览表</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2104"/>
        <w:gridCol w:w="2310"/>
        <w:gridCol w:w="1362"/>
        <w:gridCol w:w="836"/>
        <w:gridCol w:w="1798"/>
      </w:tblGrid>
      <w:tr>
        <w:trPr>
          <w:trHeight w:val="467" w:hRule="atLeast"/>
        </w:trPr>
        <w:tc>
          <w:tcPr>
            <w:tcW w:w="686" w:type="dxa"/>
          </w:tcPr>
          <w:p>
            <w:pPr>
              <w:pStyle w:val="TableParagraph"/>
              <w:spacing w:before="117"/>
              <w:ind w:left="143" w:right="133"/>
              <w:rPr>
                <w:sz w:val="18"/>
              </w:rPr>
            </w:pPr>
            <w:r>
              <w:rPr>
                <w:sz w:val="18"/>
              </w:rPr>
              <w:t>序号</w:t>
            </w:r>
          </w:p>
        </w:tc>
        <w:tc>
          <w:tcPr>
            <w:tcW w:w="2104" w:type="dxa"/>
          </w:tcPr>
          <w:p>
            <w:pPr>
              <w:pStyle w:val="TableParagraph"/>
              <w:spacing w:before="117"/>
              <w:ind w:left="491" w:right="483"/>
              <w:rPr>
                <w:sz w:val="18"/>
              </w:rPr>
            </w:pPr>
            <w:r>
              <w:rPr>
                <w:sz w:val="18"/>
              </w:rPr>
              <w:t>设备名称</w:t>
            </w:r>
          </w:p>
        </w:tc>
        <w:tc>
          <w:tcPr>
            <w:tcW w:w="2310" w:type="dxa"/>
          </w:tcPr>
          <w:p>
            <w:pPr>
              <w:pStyle w:val="TableParagraph"/>
              <w:spacing w:before="117"/>
              <w:ind w:left="102" w:right="92"/>
              <w:rPr>
                <w:sz w:val="18"/>
              </w:rPr>
            </w:pPr>
            <w:r>
              <w:rPr>
                <w:sz w:val="18"/>
              </w:rPr>
              <w:t>规格型号</w:t>
            </w:r>
          </w:p>
        </w:tc>
        <w:tc>
          <w:tcPr>
            <w:tcW w:w="1362" w:type="dxa"/>
          </w:tcPr>
          <w:p>
            <w:pPr>
              <w:pStyle w:val="TableParagraph"/>
              <w:spacing w:before="117"/>
              <w:ind w:left="389" w:right="379"/>
              <w:rPr>
                <w:sz w:val="18"/>
              </w:rPr>
            </w:pPr>
            <w:r>
              <w:rPr>
                <w:sz w:val="18"/>
              </w:rPr>
              <w:t>材质</w:t>
            </w:r>
          </w:p>
        </w:tc>
        <w:tc>
          <w:tcPr>
            <w:tcW w:w="836" w:type="dxa"/>
          </w:tcPr>
          <w:p>
            <w:pPr>
              <w:pStyle w:val="TableParagraph"/>
              <w:spacing w:before="117"/>
              <w:ind w:left="221" w:right="205"/>
              <w:rPr>
                <w:sz w:val="18"/>
              </w:rPr>
            </w:pPr>
            <w:r>
              <w:rPr>
                <w:sz w:val="18"/>
              </w:rPr>
              <w:t>数量</w:t>
            </w:r>
          </w:p>
        </w:tc>
        <w:tc>
          <w:tcPr>
            <w:tcW w:w="1798" w:type="dxa"/>
          </w:tcPr>
          <w:p>
            <w:pPr>
              <w:pStyle w:val="TableParagraph"/>
              <w:spacing w:line="230" w:lineRule="exact"/>
              <w:ind w:left="59" w:right="35"/>
              <w:rPr>
                <w:sz w:val="18"/>
              </w:rPr>
            </w:pPr>
            <w:r>
              <w:rPr>
                <w:sz w:val="18"/>
              </w:rPr>
              <w:t>操作条件（温度、压</w:t>
            </w:r>
          </w:p>
          <w:p>
            <w:pPr>
              <w:pStyle w:val="TableParagraph"/>
              <w:spacing w:line="215" w:lineRule="exact" w:before="2"/>
              <w:ind w:left="52" w:right="35"/>
              <w:rPr>
                <w:sz w:val="18"/>
              </w:rPr>
            </w:pPr>
            <w:r>
              <w:rPr>
                <w:sz w:val="18"/>
              </w:rPr>
              <w:t>力、介质等）</w:t>
            </w:r>
          </w:p>
        </w:tc>
      </w:tr>
      <w:tr>
        <w:trPr>
          <w:trHeight w:val="405" w:hRule="atLeast"/>
        </w:trPr>
        <w:tc>
          <w:tcPr>
            <w:tcW w:w="686" w:type="dxa"/>
          </w:tcPr>
          <w:p>
            <w:pPr>
              <w:pStyle w:val="TableParagraph"/>
              <w:spacing w:before="93"/>
              <w:ind w:left="8"/>
              <w:rPr>
                <w:rFonts w:ascii="Times New Roman"/>
                <w:sz w:val="18"/>
              </w:rPr>
            </w:pPr>
            <w:r>
              <w:rPr>
                <w:rFonts w:ascii="Times New Roman"/>
                <w:sz w:val="18"/>
              </w:rPr>
              <w:t>1</w:t>
            </w:r>
          </w:p>
        </w:tc>
        <w:tc>
          <w:tcPr>
            <w:tcW w:w="2104" w:type="dxa"/>
          </w:tcPr>
          <w:p>
            <w:pPr>
              <w:pStyle w:val="TableParagraph"/>
              <w:spacing w:before="86"/>
              <w:ind w:left="491" w:right="483"/>
              <w:rPr>
                <w:sz w:val="18"/>
              </w:rPr>
            </w:pPr>
            <w:r>
              <w:rPr>
                <w:sz w:val="18"/>
              </w:rPr>
              <w:t>醋酸储罐</w:t>
            </w:r>
          </w:p>
        </w:tc>
        <w:tc>
          <w:tcPr>
            <w:tcW w:w="2310" w:type="dxa"/>
          </w:tcPr>
          <w:p>
            <w:pPr>
              <w:pStyle w:val="TableParagraph"/>
              <w:spacing w:before="86"/>
              <w:ind w:left="103" w:right="90"/>
              <w:rPr>
                <w:rFonts w:ascii="Times New Roman" w:hAnsi="Times New Roman" w:eastAsia="Times New Roman"/>
                <w:sz w:val="18"/>
              </w:rPr>
            </w:pPr>
            <w:r>
              <w:rPr>
                <w:rFonts w:ascii="Times New Roman" w:hAnsi="Times New Roman" w:eastAsia="Times New Roman"/>
                <w:sz w:val="18"/>
              </w:rPr>
              <w:t>Ø4000x8000 Vn</w:t>
            </w:r>
            <w:r>
              <w:rPr>
                <w:sz w:val="18"/>
              </w:rPr>
              <w:t>＝</w:t>
            </w:r>
            <w:r>
              <w:rPr>
                <w:rFonts w:ascii="Times New Roman" w:hAnsi="Times New Roman" w:eastAsia="Times New Roman"/>
                <w:sz w:val="18"/>
              </w:rPr>
              <w:t>100m</w:t>
            </w:r>
            <w:r>
              <w:rPr>
                <w:rFonts w:ascii="Times New Roman" w:hAnsi="Times New Roman" w:eastAsia="Times New Roman"/>
                <w:sz w:val="18"/>
                <w:vertAlign w:val="superscript"/>
              </w:rPr>
              <w:t>3</w:t>
            </w:r>
          </w:p>
        </w:tc>
        <w:tc>
          <w:tcPr>
            <w:tcW w:w="1362" w:type="dxa"/>
          </w:tcPr>
          <w:p>
            <w:pPr>
              <w:pStyle w:val="TableParagraph"/>
              <w:spacing w:before="86"/>
              <w:ind w:left="434"/>
              <w:jc w:val="left"/>
              <w:rPr>
                <w:rFonts w:ascii="Times New Roman" w:eastAsia="Times New Roman"/>
                <w:sz w:val="18"/>
              </w:rPr>
            </w:pPr>
            <w:r>
              <w:rPr>
                <w:sz w:val="18"/>
              </w:rPr>
              <w:t>衬 </w:t>
            </w:r>
            <w:r>
              <w:rPr>
                <w:rFonts w:ascii="Times New Roman" w:eastAsia="Times New Roman"/>
                <w:sz w:val="18"/>
              </w:rPr>
              <w:t>316</w:t>
            </w:r>
          </w:p>
        </w:tc>
        <w:tc>
          <w:tcPr>
            <w:tcW w:w="836" w:type="dxa"/>
          </w:tcPr>
          <w:p>
            <w:pPr>
              <w:pStyle w:val="TableParagraph"/>
              <w:spacing w:before="93"/>
              <w:ind w:left="15"/>
              <w:rPr>
                <w:rFonts w:ascii="Times New Roman"/>
                <w:sz w:val="18"/>
              </w:rPr>
            </w:pPr>
            <w:r>
              <w:rPr>
                <w:rFonts w:ascii="Times New Roman"/>
                <w:sz w:val="18"/>
              </w:rPr>
              <w:t>4</w:t>
            </w:r>
          </w:p>
        </w:tc>
        <w:tc>
          <w:tcPr>
            <w:tcW w:w="1798" w:type="dxa"/>
          </w:tcPr>
          <w:p>
            <w:pPr>
              <w:pStyle w:val="TableParagraph"/>
              <w:spacing w:before="86"/>
              <w:ind w:right="163"/>
              <w:jc w:val="right"/>
              <w:rPr>
                <w:sz w:val="18"/>
              </w:rPr>
            </w:pPr>
            <w:r>
              <w:rPr>
                <w:rFonts w:ascii="Times New Roman" w:hAnsi="Times New Roman" w:eastAsia="Times New Roman"/>
                <w:sz w:val="18"/>
              </w:rPr>
              <w:t>40</w:t>
            </w:r>
            <w:r>
              <w:rPr>
                <w:sz w:val="18"/>
              </w:rPr>
              <w:t>℃、常压、醋酸</w:t>
            </w:r>
          </w:p>
        </w:tc>
      </w:tr>
      <w:tr>
        <w:trPr>
          <w:trHeight w:val="405" w:hRule="atLeast"/>
        </w:trPr>
        <w:tc>
          <w:tcPr>
            <w:tcW w:w="686" w:type="dxa"/>
          </w:tcPr>
          <w:p>
            <w:pPr>
              <w:pStyle w:val="TableParagraph"/>
              <w:spacing w:before="93"/>
              <w:ind w:left="8"/>
              <w:rPr>
                <w:rFonts w:ascii="Times New Roman"/>
                <w:sz w:val="18"/>
              </w:rPr>
            </w:pPr>
            <w:r>
              <w:rPr>
                <w:rFonts w:ascii="Times New Roman"/>
                <w:sz w:val="18"/>
              </w:rPr>
              <w:t>2</w:t>
            </w:r>
          </w:p>
        </w:tc>
        <w:tc>
          <w:tcPr>
            <w:tcW w:w="2104" w:type="dxa"/>
          </w:tcPr>
          <w:p>
            <w:pPr>
              <w:pStyle w:val="TableParagraph"/>
              <w:spacing w:before="86"/>
              <w:ind w:left="489" w:right="483"/>
              <w:rPr>
                <w:sz w:val="18"/>
              </w:rPr>
            </w:pPr>
            <w:r>
              <w:rPr>
                <w:sz w:val="18"/>
              </w:rPr>
              <w:t>醋酸计量罐</w:t>
            </w:r>
          </w:p>
        </w:tc>
        <w:tc>
          <w:tcPr>
            <w:tcW w:w="2310" w:type="dxa"/>
          </w:tcPr>
          <w:p>
            <w:pPr>
              <w:pStyle w:val="TableParagraph"/>
              <w:spacing w:before="86"/>
              <w:ind w:left="103" w:right="90"/>
              <w:rPr>
                <w:rFonts w:ascii="Times New Roman" w:hAnsi="Times New Roman" w:eastAsia="Times New Roman"/>
                <w:sz w:val="18"/>
              </w:rPr>
            </w:pPr>
            <w:r>
              <w:rPr>
                <w:rFonts w:ascii="Times New Roman" w:hAnsi="Times New Roman" w:eastAsia="Times New Roman"/>
                <w:sz w:val="18"/>
              </w:rPr>
              <w:t>Ø1200x1800 Vn</w:t>
            </w:r>
            <w:r>
              <w:rPr>
                <w:sz w:val="18"/>
              </w:rPr>
              <w:t>＝</w:t>
            </w:r>
            <w:r>
              <w:rPr>
                <w:rFonts w:ascii="Times New Roman" w:hAnsi="Times New Roman" w:eastAsia="Times New Roman"/>
                <w:sz w:val="18"/>
              </w:rPr>
              <w:t>2.0m</w:t>
            </w:r>
            <w:r>
              <w:rPr>
                <w:rFonts w:ascii="Times New Roman" w:hAnsi="Times New Roman" w:eastAsia="Times New Roman"/>
                <w:sz w:val="18"/>
                <w:vertAlign w:val="superscript"/>
              </w:rPr>
              <w:t>3</w:t>
            </w:r>
          </w:p>
        </w:tc>
        <w:tc>
          <w:tcPr>
            <w:tcW w:w="1362" w:type="dxa"/>
          </w:tcPr>
          <w:p>
            <w:pPr>
              <w:pStyle w:val="TableParagraph"/>
              <w:spacing w:before="86"/>
              <w:ind w:left="434"/>
              <w:jc w:val="left"/>
              <w:rPr>
                <w:rFonts w:ascii="Times New Roman" w:eastAsia="Times New Roman"/>
                <w:sz w:val="18"/>
              </w:rPr>
            </w:pPr>
            <w:r>
              <w:rPr>
                <w:sz w:val="18"/>
              </w:rPr>
              <w:t>衬 </w:t>
            </w:r>
            <w:r>
              <w:rPr>
                <w:rFonts w:ascii="Times New Roman" w:eastAsia="Times New Roman"/>
                <w:sz w:val="18"/>
              </w:rPr>
              <w:t>316</w:t>
            </w:r>
          </w:p>
        </w:tc>
        <w:tc>
          <w:tcPr>
            <w:tcW w:w="836" w:type="dxa"/>
          </w:tcPr>
          <w:p>
            <w:pPr>
              <w:pStyle w:val="TableParagraph"/>
              <w:spacing w:before="93"/>
              <w:ind w:left="15"/>
              <w:rPr>
                <w:rFonts w:ascii="Times New Roman"/>
                <w:sz w:val="18"/>
              </w:rPr>
            </w:pPr>
            <w:r>
              <w:rPr>
                <w:rFonts w:ascii="Times New Roman"/>
                <w:sz w:val="18"/>
              </w:rPr>
              <w:t>3</w:t>
            </w:r>
          </w:p>
        </w:tc>
        <w:tc>
          <w:tcPr>
            <w:tcW w:w="1798" w:type="dxa"/>
          </w:tcPr>
          <w:p>
            <w:pPr>
              <w:pStyle w:val="TableParagraph"/>
              <w:spacing w:before="86"/>
              <w:ind w:right="163"/>
              <w:jc w:val="right"/>
              <w:rPr>
                <w:sz w:val="18"/>
              </w:rPr>
            </w:pPr>
            <w:r>
              <w:rPr>
                <w:rFonts w:ascii="Times New Roman" w:hAnsi="Times New Roman" w:eastAsia="Times New Roman"/>
                <w:sz w:val="18"/>
              </w:rPr>
              <w:t>40</w:t>
            </w:r>
            <w:r>
              <w:rPr>
                <w:sz w:val="18"/>
              </w:rPr>
              <w:t>℃、常压、醋酸</w:t>
            </w:r>
          </w:p>
        </w:tc>
      </w:tr>
      <w:tr>
        <w:trPr>
          <w:trHeight w:val="407" w:hRule="atLeast"/>
        </w:trPr>
        <w:tc>
          <w:tcPr>
            <w:tcW w:w="686" w:type="dxa"/>
          </w:tcPr>
          <w:p>
            <w:pPr>
              <w:pStyle w:val="TableParagraph"/>
              <w:spacing w:before="93"/>
              <w:ind w:left="8"/>
              <w:rPr>
                <w:rFonts w:ascii="Times New Roman"/>
                <w:sz w:val="18"/>
              </w:rPr>
            </w:pPr>
            <w:r>
              <w:rPr>
                <w:rFonts w:ascii="Times New Roman"/>
                <w:sz w:val="18"/>
              </w:rPr>
              <w:t>3</w:t>
            </w:r>
          </w:p>
        </w:tc>
        <w:tc>
          <w:tcPr>
            <w:tcW w:w="2104" w:type="dxa"/>
          </w:tcPr>
          <w:p>
            <w:pPr>
              <w:pStyle w:val="TableParagraph"/>
              <w:spacing w:before="86"/>
              <w:ind w:left="489" w:right="483"/>
              <w:rPr>
                <w:sz w:val="18"/>
              </w:rPr>
            </w:pPr>
            <w:r>
              <w:rPr>
                <w:sz w:val="18"/>
              </w:rPr>
              <w:t>液氨计量槽</w:t>
            </w:r>
          </w:p>
        </w:tc>
        <w:tc>
          <w:tcPr>
            <w:tcW w:w="2310" w:type="dxa"/>
          </w:tcPr>
          <w:p>
            <w:pPr>
              <w:pStyle w:val="TableParagraph"/>
              <w:spacing w:before="86"/>
              <w:ind w:left="103" w:right="90"/>
              <w:rPr>
                <w:rFonts w:ascii="Times New Roman" w:hAnsi="Times New Roman" w:eastAsia="Times New Roman"/>
                <w:sz w:val="18"/>
              </w:rPr>
            </w:pPr>
            <w:r>
              <w:rPr>
                <w:rFonts w:ascii="Times New Roman" w:hAnsi="Times New Roman" w:eastAsia="Times New Roman"/>
                <w:sz w:val="18"/>
              </w:rPr>
              <w:t>Ø1200x1400 Vn</w:t>
            </w:r>
            <w:r>
              <w:rPr>
                <w:sz w:val="18"/>
              </w:rPr>
              <w:t>＝</w:t>
            </w:r>
            <w:r>
              <w:rPr>
                <w:rFonts w:ascii="Times New Roman" w:hAnsi="Times New Roman" w:eastAsia="Times New Roman"/>
                <w:sz w:val="18"/>
              </w:rPr>
              <w:t>2.0m</w:t>
            </w:r>
            <w:r>
              <w:rPr>
                <w:rFonts w:ascii="Times New Roman" w:hAnsi="Times New Roman" w:eastAsia="Times New Roman"/>
                <w:sz w:val="18"/>
                <w:vertAlign w:val="superscript"/>
              </w:rPr>
              <w:t>3</w:t>
            </w:r>
          </w:p>
        </w:tc>
        <w:tc>
          <w:tcPr>
            <w:tcW w:w="1362" w:type="dxa"/>
          </w:tcPr>
          <w:p>
            <w:pPr>
              <w:pStyle w:val="TableParagraph"/>
              <w:spacing w:before="86"/>
              <w:ind w:left="389" w:right="379"/>
              <w:rPr>
                <w:sz w:val="18"/>
              </w:rPr>
            </w:pPr>
            <w:r>
              <w:rPr>
                <w:sz w:val="18"/>
              </w:rPr>
              <w:t>碳钢</w:t>
            </w:r>
          </w:p>
        </w:tc>
        <w:tc>
          <w:tcPr>
            <w:tcW w:w="836" w:type="dxa"/>
          </w:tcPr>
          <w:p>
            <w:pPr>
              <w:pStyle w:val="TableParagraph"/>
              <w:spacing w:before="93"/>
              <w:ind w:left="15"/>
              <w:rPr>
                <w:rFonts w:ascii="Times New Roman"/>
                <w:sz w:val="18"/>
              </w:rPr>
            </w:pPr>
            <w:r>
              <w:rPr>
                <w:rFonts w:ascii="Times New Roman"/>
                <w:sz w:val="18"/>
              </w:rPr>
              <w:t>3</w:t>
            </w:r>
          </w:p>
        </w:tc>
        <w:tc>
          <w:tcPr>
            <w:tcW w:w="1798" w:type="dxa"/>
          </w:tcPr>
          <w:p>
            <w:pPr>
              <w:pStyle w:val="TableParagraph"/>
              <w:spacing w:before="86"/>
              <w:ind w:right="88"/>
              <w:jc w:val="right"/>
              <w:rPr>
                <w:sz w:val="18"/>
              </w:rPr>
            </w:pPr>
            <w:r>
              <w:rPr>
                <w:sz w:val="18"/>
              </w:rPr>
              <w:t>常温、</w:t>
            </w:r>
            <w:r>
              <w:rPr>
                <w:rFonts w:ascii="Times New Roman" w:eastAsia="Times New Roman"/>
                <w:sz w:val="18"/>
              </w:rPr>
              <w:t>3.2MPa</w:t>
            </w:r>
            <w:r>
              <w:rPr>
                <w:sz w:val="18"/>
              </w:rPr>
              <w:t>、液氨</w:t>
            </w:r>
          </w:p>
        </w:tc>
      </w:tr>
      <w:tr>
        <w:trPr>
          <w:trHeight w:val="405" w:hRule="atLeast"/>
        </w:trPr>
        <w:tc>
          <w:tcPr>
            <w:tcW w:w="686" w:type="dxa"/>
          </w:tcPr>
          <w:p>
            <w:pPr>
              <w:pStyle w:val="TableParagraph"/>
              <w:spacing w:before="93"/>
              <w:ind w:left="8"/>
              <w:rPr>
                <w:rFonts w:ascii="Times New Roman"/>
                <w:sz w:val="18"/>
              </w:rPr>
            </w:pPr>
            <w:r>
              <w:rPr>
                <w:rFonts w:ascii="Times New Roman"/>
                <w:sz w:val="18"/>
              </w:rPr>
              <w:t>4</w:t>
            </w:r>
          </w:p>
        </w:tc>
        <w:tc>
          <w:tcPr>
            <w:tcW w:w="2104" w:type="dxa"/>
          </w:tcPr>
          <w:p>
            <w:pPr>
              <w:pStyle w:val="TableParagraph"/>
              <w:spacing w:before="86"/>
              <w:ind w:left="491" w:right="483"/>
              <w:rPr>
                <w:sz w:val="18"/>
              </w:rPr>
            </w:pPr>
            <w:r>
              <w:rPr>
                <w:sz w:val="18"/>
              </w:rPr>
              <w:t>液氨储罐</w:t>
            </w:r>
          </w:p>
        </w:tc>
        <w:tc>
          <w:tcPr>
            <w:tcW w:w="2310" w:type="dxa"/>
          </w:tcPr>
          <w:p>
            <w:pPr>
              <w:pStyle w:val="TableParagraph"/>
              <w:spacing w:before="86"/>
              <w:ind w:left="103" w:right="92"/>
              <w:rPr>
                <w:rFonts w:ascii="Times New Roman" w:hAnsi="Times New Roman" w:eastAsia="Times New Roman"/>
                <w:sz w:val="18"/>
              </w:rPr>
            </w:pPr>
            <w:r>
              <w:rPr>
                <w:rFonts w:ascii="Times New Roman" w:hAnsi="Times New Roman" w:eastAsia="Times New Roman"/>
                <w:sz w:val="18"/>
              </w:rPr>
              <w:t>Ø2200x5800 Vn</w:t>
            </w:r>
            <w:r>
              <w:rPr>
                <w:sz w:val="18"/>
              </w:rPr>
              <w:t>＝</w:t>
            </w:r>
            <w:r>
              <w:rPr>
                <w:rFonts w:ascii="Times New Roman" w:hAnsi="Times New Roman" w:eastAsia="Times New Roman"/>
                <w:sz w:val="18"/>
              </w:rPr>
              <w:t>25m</w:t>
            </w:r>
            <w:r>
              <w:rPr>
                <w:rFonts w:ascii="Times New Roman" w:hAnsi="Times New Roman" w:eastAsia="Times New Roman"/>
                <w:sz w:val="18"/>
                <w:vertAlign w:val="superscript"/>
              </w:rPr>
              <w:t>3</w:t>
            </w:r>
          </w:p>
        </w:tc>
        <w:tc>
          <w:tcPr>
            <w:tcW w:w="1362" w:type="dxa"/>
          </w:tcPr>
          <w:p>
            <w:pPr>
              <w:pStyle w:val="TableParagraph"/>
              <w:spacing w:before="86"/>
              <w:ind w:left="389" w:right="379"/>
              <w:rPr>
                <w:sz w:val="18"/>
              </w:rPr>
            </w:pPr>
            <w:r>
              <w:rPr>
                <w:sz w:val="18"/>
              </w:rPr>
              <w:t>碳钢</w:t>
            </w:r>
          </w:p>
        </w:tc>
        <w:tc>
          <w:tcPr>
            <w:tcW w:w="836" w:type="dxa"/>
          </w:tcPr>
          <w:p>
            <w:pPr>
              <w:pStyle w:val="TableParagraph"/>
              <w:spacing w:before="93"/>
              <w:ind w:left="15"/>
              <w:rPr>
                <w:rFonts w:ascii="Times New Roman"/>
                <w:sz w:val="18"/>
              </w:rPr>
            </w:pPr>
            <w:r>
              <w:rPr>
                <w:rFonts w:ascii="Times New Roman"/>
                <w:sz w:val="18"/>
              </w:rPr>
              <w:t>2</w:t>
            </w:r>
          </w:p>
        </w:tc>
        <w:tc>
          <w:tcPr>
            <w:tcW w:w="1798" w:type="dxa"/>
          </w:tcPr>
          <w:p>
            <w:pPr>
              <w:pStyle w:val="TableParagraph"/>
              <w:spacing w:before="86"/>
              <w:ind w:right="88"/>
              <w:jc w:val="right"/>
              <w:rPr>
                <w:sz w:val="18"/>
              </w:rPr>
            </w:pPr>
            <w:r>
              <w:rPr>
                <w:sz w:val="18"/>
              </w:rPr>
              <w:t>常温、</w:t>
            </w:r>
            <w:r>
              <w:rPr>
                <w:rFonts w:ascii="Times New Roman" w:eastAsia="Times New Roman"/>
                <w:sz w:val="18"/>
              </w:rPr>
              <w:t>3.2MPa</w:t>
            </w:r>
            <w:r>
              <w:rPr>
                <w:sz w:val="18"/>
              </w:rPr>
              <w:t>、液氨</w:t>
            </w:r>
          </w:p>
        </w:tc>
      </w:tr>
      <w:tr>
        <w:trPr>
          <w:trHeight w:val="441" w:hRule="atLeast"/>
        </w:trPr>
        <w:tc>
          <w:tcPr>
            <w:tcW w:w="686" w:type="dxa"/>
          </w:tcPr>
          <w:p>
            <w:pPr>
              <w:pStyle w:val="TableParagraph"/>
              <w:spacing w:before="112"/>
              <w:ind w:left="8"/>
              <w:rPr>
                <w:rFonts w:ascii="Times New Roman"/>
                <w:sz w:val="18"/>
              </w:rPr>
            </w:pPr>
            <w:r>
              <w:rPr>
                <w:rFonts w:ascii="Times New Roman"/>
                <w:sz w:val="18"/>
              </w:rPr>
              <w:t>5</w:t>
            </w:r>
          </w:p>
        </w:tc>
        <w:tc>
          <w:tcPr>
            <w:tcW w:w="2104" w:type="dxa"/>
          </w:tcPr>
          <w:p>
            <w:pPr>
              <w:pStyle w:val="TableParagraph"/>
              <w:spacing w:before="103"/>
              <w:ind w:left="489" w:right="483"/>
              <w:rPr>
                <w:sz w:val="18"/>
              </w:rPr>
            </w:pPr>
            <w:r>
              <w:rPr>
                <w:sz w:val="18"/>
              </w:rPr>
              <w:t>醋酸汽化器</w:t>
            </w:r>
          </w:p>
        </w:tc>
        <w:tc>
          <w:tcPr>
            <w:tcW w:w="2310" w:type="dxa"/>
          </w:tcPr>
          <w:p>
            <w:pPr>
              <w:pStyle w:val="TableParagraph"/>
              <w:spacing w:line="216" w:lineRule="exact" w:before="7"/>
              <w:ind w:left="865" w:hanging="545"/>
              <w:jc w:val="left"/>
              <w:rPr>
                <w:rFonts w:ascii="Times New Roman" w:hAnsi="Times New Roman" w:eastAsia="Times New Roman"/>
                <w:sz w:val="18"/>
              </w:rPr>
            </w:pPr>
            <w:r>
              <w:rPr>
                <w:rFonts w:ascii="Times New Roman" w:hAnsi="Times New Roman" w:eastAsia="Times New Roman"/>
                <w:sz w:val="18"/>
              </w:rPr>
              <w:t>Ø1400x1600 Vn</w:t>
            </w:r>
            <w:r>
              <w:rPr>
                <w:sz w:val="18"/>
              </w:rPr>
              <w:t>＝</w:t>
            </w:r>
            <w:r>
              <w:rPr>
                <w:rFonts w:ascii="Times New Roman" w:hAnsi="Times New Roman" w:eastAsia="Times New Roman"/>
                <w:sz w:val="18"/>
              </w:rPr>
              <w:t>3m</w:t>
            </w:r>
            <w:r>
              <w:rPr>
                <w:rFonts w:ascii="Times New Roman" w:hAnsi="Times New Roman" w:eastAsia="Times New Roman"/>
                <w:sz w:val="18"/>
                <w:vertAlign w:val="superscript"/>
              </w:rPr>
              <w:t>3</w:t>
            </w:r>
            <w:r>
              <w:rPr>
                <w:rFonts w:ascii="Times New Roman" w:hAnsi="Times New Roman" w:eastAsia="Times New Roman"/>
                <w:sz w:val="18"/>
                <w:vertAlign w:val="baseline"/>
              </w:rPr>
              <w:t> F=25m</w:t>
            </w:r>
            <w:r>
              <w:rPr>
                <w:rFonts w:ascii="Times New Roman" w:hAnsi="Times New Roman" w:eastAsia="Times New Roman"/>
                <w:sz w:val="18"/>
                <w:vertAlign w:val="superscript"/>
              </w:rPr>
              <w:t>2</w:t>
            </w:r>
          </w:p>
        </w:tc>
        <w:tc>
          <w:tcPr>
            <w:tcW w:w="1362" w:type="dxa"/>
          </w:tcPr>
          <w:p>
            <w:pPr>
              <w:pStyle w:val="TableParagraph"/>
              <w:spacing w:before="112"/>
              <w:ind w:left="392" w:right="378"/>
              <w:rPr>
                <w:rFonts w:ascii="Times New Roman"/>
                <w:sz w:val="18"/>
              </w:rPr>
            </w:pPr>
            <w:r>
              <w:rPr>
                <w:rFonts w:ascii="Times New Roman"/>
                <w:sz w:val="18"/>
              </w:rPr>
              <w:t>316</w:t>
            </w:r>
          </w:p>
        </w:tc>
        <w:tc>
          <w:tcPr>
            <w:tcW w:w="836" w:type="dxa"/>
          </w:tcPr>
          <w:p>
            <w:pPr>
              <w:pStyle w:val="TableParagraph"/>
              <w:spacing w:before="112"/>
              <w:ind w:left="15"/>
              <w:rPr>
                <w:rFonts w:ascii="Times New Roman"/>
                <w:sz w:val="18"/>
              </w:rPr>
            </w:pPr>
            <w:r>
              <w:rPr>
                <w:rFonts w:ascii="Times New Roman"/>
                <w:sz w:val="18"/>
              </w:rPr>
              <w:t>3</w:t>
            </w:r>
          </w:p>
        </w:tc>
        <w:tc>
          <w:tcPr>
            <w:tcW w:w="1798" w:type="dxa"/>
          </w:tcPr>
          <w:p>
            <w:pPr>
              <w:pStyle w:val="TableParagraph"/>
              <w:spacing w:before="112"/>
              <w:ind w:left="56" w:right="35"/>
              <w:rPr>
                <w:rFonts w:ascii="Times New Roman"/>
                <w:sz w:val="18"/>
              </w:rPr>
            </w:pPr>
            <w:r>
              <w:rPr>
                <w:rFonts w:ascii="Times New Roman"/>
                <w:sz w:val="18"/>
              </w:rPr>
              <w:t>120</w:t>
            </w:r>
          </w:p>
        </w:tc>
      </w:tr>
      <w:tr>
        <w:trPr>
          <w:trHeight w:val="465" w:hRule="atLeast"/>
        </w:trPr>
        <w:tc>
          <w:tcPr>
            <w:tcW w:w="686" w:type="dxa"/>
          </w:tcPr>
          <w:p>
            <w:pPr>
              <w:pStyle w:val="TableParagraph"/>
              <w:spacing w:before="124"/>
              <w:ind w:left="8"/>
              <w:rPr>
                <w:rFonts w:ascii="Times New Roman"/>
                <w:sz w:val="18"/>
              </w:rPr>
            </w:pPr>
            <w:r>
              <w:rPr>
                <w:rFonts w:ascii="Times New Roman"/>
                <w:sz w:val="18"/>
              </w:rPr>
              <w:t>6</w:t>
            </w:r>
          </w:p>
        </w:tc>
        <w:tc>
          <w:tcPr>
            <w:tcW w:w="2104" w:type="dxa"/>
          </w:tcPr>
          <w:p>
            <w:pPr>
              <w:pStyle w:val="TableParagraph"/>
              <w:spacing w:before="117"/>
              <w:ind w:left="489" w:right="483"/>
              <w:rPr>
                <w:sz w:val="18"/>
              </w:rPr>
            </w:pPr>
            <w:r>
              <w:rPr>
                <w:sz w:val="18"/>
              </w:rPr>
              <w:t>氨气汽化器</w:t>
            </w:r>
          </w:p>
        </w:tc>
        <w:tc>
          <w:tcPr>
            <w:tcW w:w="2310" w:type="dxa"/>
          </w:tcPr>
          <w:p>
            <w:pPr>
              <w:pStyle w:val="TableParagraph"/>
              <w:spacing w:before="117"/>
              <w:ind w:left="103" w:right="90"/>
              <w:rPr>
                <w:rFonts w:ascii="Times New Roman" w:hAnsi="Times New Roman" w:eastAsia="Times New Roman"/>
                <w:sz w:val="18"/>
              </w:rPr>
            </w:pPr>
            <w:r>
              <w:rPr>
                <w:rFonts w:ascii="Times New Roman" w:hAnsi="Times New Roman" w:eastAsia="Times New Roman"/>
                <w:sz w:val="18"/>
              </w:rPr>
              <w:t>Ø800x1800 Vn</w:t>
            </w:r>
            <w:r>
              <w:rPr>
                <w:sz w:val="18"/>
              </w:rPr>
              <w:t>＝</w:t>
            </w:r>
            <w:r>
              <w:rPr>
                <w:rFonts w:ascii="Times New Roman" w:hAnsi="Times New Roman" w:eastAsia="Times New Roman"/>
                <w:sz w:val="18"/>
              </w:rPr>
              <w:t>1.0m</w:t>
            </w:r>
            <w:r>
              <w:rPr>
                <w:rFonts w:ascii="Times New Roman" w:hAnsi="Times New Roman" w:eastAsia="Times New Roman"/>
                <w:sz w:val="18"/>
                <w:vertAlign w:val="superscript"/>
              </w:rPr>
              <w:t>3</w:t>
            </w:r>
          </w:p>
        </w:tc>
        <w:tc>
          <w:tcPr>
            <w:tcW w:w="1362" w:type="dxa"/>
          </w:tcPr>
          <w:p>
            <w:pPr>
              <w:pStyle w:val="TableParagraph"/>
              <w:spacing w:before="117"/>
              <w:ind w:left="389" w:right="379"/>
              <w:rPr>
                <w:sz w:val="18"/>
              </w:rPr>
            </w:pPr>
            <w:r>
              <w:rPr>
                <w:sz w:val="18"/>
              </w:rPr>
              <w:t>碳钢</w:t>
            </w:r>
          </w:p>
        </w:tc>
        <w:tc>
          <w:tcPr>
            <w:tcW w:w="836" w:type="dxa"/>
          </w:tcPr>
          <w:p>
            <w:pPr>
              <w:pStyle w:val="TableParagraph"/>
              <w:spacing w:before="124"/>
              <w:ind w:left="15"/>
              <w:rPr>
                <w:rFonts w:ascii="Times New Roman"/>
                <w:sz w:val="18"/>
              </w:rPr>
            </w:pPr>
            <w:r>
              <w:rPr>
                <w:rFonts w:ascii="Times New Roman"/>
                <w:sz w:val="18"/>
              </w:rPr>
              <w:t>3</w:t>
            </w:r>
          </w:p>
        </w:tc>
        <w:tc>
          <w:tcPr>
            <w:tcW w:w="1798" w:type="dxa"/>
          </w:tcPr>
          <w:p>
            <w:pPr>
              <w:pStyle w:val="TableParagraph"/>
              <w:spacing w:line="230" w:lineRule="exact"/>
              <w:ind w:left="57" w:right="35"/>
              <w:rPr>
                <w:sz w:val="18"/>
              </w:rPr>
            </w:pPr>
            <w:r>
              <w:rPr>
                <w:rFonts w:ascii="Times New Roman" w:hAnsi="Times New Roman" w:eastAsia="Times New Roman"/>
                <w:sz w:val="18"/>
              </w:rPr>
              <w:t>30</w:t>
            </w:r>
            <w:r>
              <w:rPr>
                <w:sz w:val="18"/>
              </w:rPr>
              <w:t>℃、</w:t>
            </w:r>
            <w:r>
              <w:rPr>
                <w:rFonts w:ascii="Times New Roman" w:hAnsi="Times New Roman" w:eastAsia="Times New Roman"/>
                <w:sz w:val="18"/>
              </w:rPr>
              <w:t>0.05MPa</w:t>
            </w:r>
            <w:r>
              <w:rPr>
                <w:sz w:val="18"/>
              </w:rPr>
              <w:t>、氨</w:t>
            </w:r>
          </w:p>
          <w:p>
            <w:pPr>
              <w:pStyle w:val="TableParagraph"/>
              <w:spacing w:line="213" w:lineRule="exact" w:before="2"/>
              <w:ind w:left="19"/>
              <w:rPr>
                <w:sz w:val="18"/>
              </w:rPr>
            </w:pPr>
            <w:r>
              <w:rPr>
                <w:sz w:val="18"/>
              </w:rPr>
              <w:t>气</w:t>
            </w:r>
          </w:p>
        </w:tc>
      </w:tr>
      <w:tr>
        <w:trPr>
          <w:trHeight w:val="467" w:hRule="atLeast"/>
        </w:trPr>
        <w:tc>
          <w:tcPr>
            <w:tcW w:w="686" w:type="dxa"/>
          </w:tcPr>
          <w:p>
            <w:pPr>
              <w:pStyle w:val="TableParagraph"/>
              <w:spacing w:before="124"/>
              <w:ind w:left="8"/>
              <w:rPr>
                <w:rFonts w:ascii="Times New Roman"/>
                <w:sz w:val="18"/>
              </w:rPr>
            </w:pPr>
            <w:r>
              <w:rPr>
                <w:rFonts w:ascii="Times New Roman"/>
                <w:sz w:val="18"/>
              </w:rPr>
              <w:t>7</w:t>
            </w:r>
          </w:p>
        </w:tc>
        <w:tc>
          <w:tcPr>
            <w:tcW w:w="2104" w:type="dxa"/>
          </w:tcPr>
          <w:p>
            <w:pPr>
              <w:pStyle w:val="TableParagraph"/>
              <w:spacing w:before="117"/>
              <w:ind w:left="489" w:right="483"/>
              <w:rPr>
                <w:sz w:val="18"/>
              </w:rPr>
            </w:pPr>
            <w:r>
              <w:rPr>
                <w:sz w:val="18"/>
              </w:rPr>
              <w:t>混合器</w:t>
            </w:r>
          </w:p>
        </w:tc>
        <w:tc>
          <w:tcPr>
            <w:tcW w:w="2310" w:type="dxa"/>
          </w:tcPr>
          <w:p>
            <w:pPr>
              <w:pStyle w:val="TableParagraph"/>
              <w:spacing w:before="117"/>
              <w:ind w:left="100" w:right="92"/>
              <w:rPr>
                <w:sz w:val="18"/>
              </w:rPr>
            </w:pPr>
            <w:r>
              <w:rPr>
                <w:sz w:val="18"/>
              </w:rPr>
              <w:t>管道式</w:t>
            </w:r>
          </w:p>
        </w:tc>
        <w:tc>
          <w:tcPr>
            <w:tcW w:w="1362" w:type="dxa"/>
          </w:tcPr>
          <w:p>
            <w:pPr>
              <w:pStyle w:val="TableParagraph"/>
              <w:spacing w:before="124"/>
              <w:ind w:left="392" w:right="377"/>
              <w:rPr>
                <w:rFonts w:ascii="Times New Roman"/>
                <w:sz w:val="18"/>
              </w:rPr>
            </w:pPr>
            <w:r>
              <w:rPr>
                <w:rFonts w:ascii="Times New Roman"/>
                <w:sz w:val="18"/>
              </w:rPr>
              <w:t>316L</w:t>
            </w:r>
          </w:p>
        </w:tc>
        <w:tc>
          <w:tcPr>
            <w:tcW w:w="836" w:type="dxa"/>
          </w:tcPr>
          <w:p>
            <w:pPr>
              <w:pStyle w:val="TableParagraph"/>
              <w:spacing w:before="124"/>
              <w:ind w:left="15"/>
              <w:rPr>
                <w:rFonts w:ascii="Times New Roman"/>
                <w:sz w:val="18"/>
              </w:rPr>
            </w:pPr>
            <w:r>
              <w:rPr>
                <w:rFonts w:ascii="Times New Roman"/>
                <w:sz w:val="18"/>
              </w:rPr>
              <w:t>3</w:t>
            </w:r>
          </w:p>
        </w:tc>
        <w:tc>
          <w:tcPr>
            <w:tcW w:w="1798" w:type="dxa"/>
          </w:tcPr>
          <w:p>
            <w:pPr>
              <w:pStyle w:val="TableParagraph"/>
              <w:spacing w:line="230" w:lineRule="exact"/>
              <w:ind w:left="57" w:right="35"/>
              <w:rPr>
                <w:sz w:val="18"/>
              </w:rPr>
            </w:pPr>
            <w:r>
              <w:rPr>
                <w:rFonts w:ascii="Times New Roman" w:hAnsi="Times New Roman" w:eastAsia="Times New Roman"/>
                <w:sz w:val="18"/>
              </w:rPr>
              <w:t>150</w:t>
            </w:r>
            <w:r>
              <w:rPr>
                <w:sz w:val="18"/>
              </w:rPr>
              <w:t>℃、</w:t>
            </w:r>
            <w:r>
              <w:rPr>
                <w:rFonts w:ascii="Times New Roman" w:hAnsi="Times New Roman" w:eastAsia="Times New Roman"/>
                <w:sz w:val="18"/>
              </w:rPr>
              <w:t>0.05MPa</w:t>
            </w:r>
            <w:r>
              <w:rPr>
                <w:sz w:val="18"/>
              </w:rPr>
              <w:t>、醋</w:t>
            </w:r>
          </w:p>
          <w:p>
            <w:pPr>
              <w:pStyle w:val="TableParagraph"/>
              <w:spacing w:line="213" w:lineRule="exact" w:before="4"/>
              <w:ind w:left="52" w:right="35"/>
              <w:rPr>
                <w:sz w:val="18"/>
              </w:rPr>
            </w:pPr>
            <w:r>
              <w:rPr>
                <w:sz w:val="18"/>
              </w:rPr>
              <w:t>酸蒸汽，氨气</w:t>
            </w:r>
          </w:p>
        </w:tc>
      </w:tr>
      <w:tr>
        <w:trPr>
          <w:trHeight w:val="467" w:hRule="atLeast"/>
        </w:trPr>
        <w:tc>
          <w:tcPr>
            <w:tcW w:w="686" w:type="dxa"/>
          </w:tcPr>
          <w:p>
            <w:pPr>
              <w:pStyle w:val="TableParagraph"/>
              <w:spacing w:before="124"/>
              <w:ind w:left="8"/>
              <w:rPr>
                <w:rFonts w:ascii="Times New Roman"/>
                <w:sz w:val="18"/>
              </w:rPr>
            </w:pPr>
            <w:r>
              <w:rPr>
                <w:rFonts w:ascii="Times New Roman"/>
                <w:sz w:val="18"/>
              </w:rPr>
              <w:t>8</w:t>
            </w:r>
          </w:p>
        </w:tc>
        <w:tc>
          <w:tcPr>
            <w:tcW w:w="2104" w:type="dxa"/>
          </w:tcPr>
          <w:p>
            <w:pPr>
              <w:pStyle w:val="TableParagraph"/>
              <w:spacing w:before="117"/>
              <w:ind w:left="491" w:right="483"/>
              <w:rPr>
                <w:sz w:val="18"/>
              </w:rPr>
            </w:pPr>
            <w:r>
              <w:rPr>
                <w:sz w:val="18"/>
              </w:rPr>
              <w:t>固定床反应器</w:t>
            </w:r>
          </w:p>
        </w:tc>
        <w:tc>
          <w:tcPr>
            <w:tcW w:w="2310" w:type="dxa"/>
          </w:tcPr>
          <w:p>
            <w:pPr>
              <w:pStyle w:val="TableParagraph"/>
              <w:spacing w:before="7"/>
              <w:ind w:left="103" w:right="91"/>
              <w:rPr>
                <w:rFonts w:ascii="Times New Roman" w:hAnsi="Times New Roman"/>
                <w:sz w:val="18"/>
              </w:rPr>
            </w:pPr>
            <w:r>
              <w:rPr>
                <w:rFonts w:ascii="Times New Roman" w:hAnsi="Times New Roman"/>
                <w:sz w:val="18"/>
              </w:rPr>
              <w:t>Ø1200x3500</w:t>
            </w:r>
          </w:p>
          <w:p>
            <w:pPr>
              <w:pStyle w:val="TableParagraph"/>
              <w:spacing w:line="229" w:lineRule="exact" w:before="4"/>
              <w:ind w:left="103" w:right="90"/>
              <w:rPr>
                <w:rFonts w:ascii="Times New Roman" w:eastAsia="Times New Roman"/>
                <w:sz w:val="18"/>
              </w:rPr>
            </w:pPr>
            <w:r>
              <w:rPr>
                <w:rFonts w:ascii="Times New Roman" w:eastAsia="Times New Roman"/>
                <w:sz w:val="18"/>
              </w:rPr>
              <w:t>F</w:t>
            </w:r>
            <w:r>
              <w:rPr>
                <w:sz w:val="18"/>
              </w:rPr>
              <w:t>＝</w:t>
            </w:r>
            <w:r>
              <w:rPr>
                <w:rFonts w:ascii="Times New Roman" w:eastAsia="Times New Roman"/>
                <w:sz w:val="18"/>
              </w:rPr>
              <w:t>80m</w:t>
            </w:r>
            <w:r>
              <w:rPr>
                <w:rFonts w:ascii="Times New Roman" w:eastAsia="Times New Roman"/>
                <w:sz w:val="18"/>
                <w:vertAlign w:val="superscript"/>
              </w:rPr>
              <w:t>2</w:t>
            </w:r>
          </w:p>
        </w:tc>
        <w:tc>
          <w:tcPr>
            <w:tcW w:w="1362" w:type="dxa"/>
          </w:tcPr>
          <w:p>
            <w:pPr>
              <w:pStyle w:val="TableParagraph"/>
              <w:spacing w:before="117"/>
              <w:ind w:left="400"/>
              <w:jc w:val="left"/>
              <w:rPr>
                <w:sz w:val="18"/>
              </w:rPr>
            </w:pPr>
            <w:r>
              <w:rPr>
                <w:rFonts w:ascii="Times New Roman" w:eastAsia="Times New Roman"/>
                <w:sz w:val="18"/>
              </w:rPr>
              <w:t>Ti/</w:t>
            </w:r>
            <w:r>
              <w:rPr>
                <w:sz w:val="18"/>
              </w:rPr>
              <w:t>碳钢</w:t>
            </w:r>
          </w:p>
        </w:tc>
        <w:tc>
          <w:tcPr>
            <w:tcW w:w="836" w:type="dxa"/>
          </w:tcPr>
          <w:p>
            <w:pPr>
              <w:pStyle w:val="TableParagraph"/>
              <w:spacing w:before="124"/>
              <w:ind w:left="15"/>
              <w:rPr>
                <w:rFonts w:ascii="Times New Roman"/>
                <w:sz w:val="18"/>
              </w:rPr>
            </w:pPr>
            <w:r>
              <w:rPr>
                <w:rFonts w:ascii="Times New Roman"/>
                <w:sz w:val="18"/>
              </w:rPr>
              <w:t>3</w:t>
            </w:r>
          </w:p>
        </w:tc>
        <w:tc>
          <w:tcPr>
            <w:tcW w:w="1798" w:type="dxa"/>
          </w:tcPr>
          <w:p>
            <w:pPr>
              <w:pStyle w:val="TableParagraph"/>
              <w:ind w:left="113" w:right="-15"/>
              <w:rPr>
                <w:sz w:val="18"/>
              </w:rPr>
            </w:pPr>
            <w:r>
              <w:rPr>
                <w:rFonts w:ascii="Times New Roman" w:hAnsi="Times New Roman" w:eastAsia="Times New Roman"/>
                <w:sz w:val="18"/>
              </w:rPr>
              <w:t>380</w:t>
            </w:r>
            <w:r>
              <w:rPr>
                <w:spacing w:val="-7"/>
                <w:sz w:val="18"/>
              </w:rPr>
              <w:t>℃、常压、醋酸、</w:t>
            </w:r>
          </w:p>
          <w:p>
            <w:pPr>
              <w:pStyle w:val="TableParagraph"/>
              <w:spacing w:line="215" w:lineRule="exact" w:before="2"/>
              <w:ind w:left="52" w:right="35"/>
              <w:rPr>
                <w:sz w:val="18"/>
              </w:rPr>
            </w:pPr>
            <w:r>
              <w:rPr>
                <w:sz w:val="18"/>
              </w:rPr>
              <w:t>氨、乙腈、水</w:t>
            </w:r>
          </w:p>
        </w:tc>
      </w:tr>
      <w:tr>
        <w:trPr>
          <w:trHeight w:val="467" w:hRule="atLeast"/>
        </w:trPr>
        <w:tc>
          <w:tcPr>
            <w:tcW w:w="686" w:type="dxa"/>
          </w:tcPr>
          <w:p>
            <w:pPr>
              <w:pStyle w:val="TableParagraph"/>
              <w:spacing w:before="124"/>
              <w:ind w:left="8"/>
              <w:rPr>
                <w:rFonts w:ascii="Times New Roman"/>
                <w:sz w:val="18"/>
              </w:rPr>
            </w:pPr>
            <w:r>
              <w:rPr>
                <w:rFonts w:ascii="Times New Roman"/>
                <w:sz w:val="18"/>
              </w:rPr>
              <w:t>9</w:t>
            </w:r>
          </w:p>
        </w:tc>
        <w:tc>
          <w:tcPr>
            <w:tcW w:w="2104" w:type="dxa"/>
          </w:tcPr>
          <w:p>
            <w:pPr>
              <w:pStyle w:val="TableParagraph"/>
              <w:spacing w:before="117"/>
              <w:ind w:left="489" w:right="483"/>
              <w:rPr>
                <w:sz w:val="18"/>
              </w:rPr>
            </w:pPr>
            <w:r>
              <w:rPr>
                <w:sz w:val="18"/>
              </w:rPr>
              <w:t>换热器</w:t>
            </w:r>
          </w:p>
        </w:tc>
        <w:tc>
          <w:tcPr>
            <w:tcW w:w="2310" w:type="dxa"/>
          </w:tcPr>
          <w:p>
            <w:pPr>
              <w:pStyle w:val="TableParagraph"/>
              <w:spacing w:before="124"/>
              <w:ind w:left="103" w:right="90"/>
              <w:rPr>
                <w:rFonts w:ascii="Times New Roman" w:hAnsi="Times New Roman"/>
                <w:sz w:val="18"/>
              </w:rPr>
            </w:pPr>
            <w:r>
              <w:rPr>
                <w:rFonts w:ascii="Times New Roman" w:hAnsi="Times New Roman"/>
                <w:sz w:val="18"/>
              </w:rPr>
              <w:t>Ø600x3000 F=65m</w:t>
            </w:r>
            <w:r>
              <w:rPr>
                <w:rFonts w:ascii="Times New Roman" w:hAnsi="Times New Roman"/>
                <w:sz w:val="18"/>
                <w:vertAlign w:val="superscript"/>
              </w:rPr>
              <w:t>2</w:t>
            </w:r>
          </w:p>
        </w:tc>
        <w:tc>
          <w:tcPr>
            <w:tcW w:w="1362" w:type="dxa"/>
          </w:tcPr>
          <w:p>
            <w:pPr>
              <w:pStyle w:val="TableParagraph"/>
              <w:spacing w:before="124"/>
              <w:ind w:left="446"/>
              <w:jc w:val="left"/>
              <w:rPr>
                <w:rFonts w:ascii="Times New Roman"/>
                <w:sz w:val="18"/>
              </w:rPr>
            </w:pPr>
            <w:r>
              <w:rPr>
                <w:rFonts w:ascii="Times New Roman"/>
                <w:sz w:val="18"/>
              </w:rPr>
              <w:t>Ti/316</w:t>
            </w:r>
          </w:p>
        </w:tc>
        <w:tc>
          <w:tcPr>
            <w:tcW w:w="836" w:type="dxa"/>
          </w:tcPr>
          <w:p>
            <w:pPr>
              <w:pStyle w:val="TableParagraph"/>
              <w:spacing w:before="124"/>
              <w:ind w:left="15"/>
              <w:rPr>
                <w:rFonts w:ascii="Times New Roman"/>
                <w:sz w:val="18"/>
              </w:rPr>
            </w:pPr>
            <w:r>
              <w:rPr>
                <w:rFonts w:ascii="Times New Roman"/>
                <w:sz w:val="18"/>
              </w:rPr>
              <w:t>3</w:t>
            </w:r>
          </w:p>
        </w:tc>
        <w:tc>
          <w:tcPr>
            <w:tcW w:w="1798" w:type="dxa"/>
          </w:tcPr>
          <w:p>
            <w:pPr>
              <w:pStyle w:val="TableParagraph"/>
              <w:spacing w:line="230" w:lineRule="exact"/>
              <w:ind w:left="113" w:right="-15"/>
              <w:rPr>
                <w:sz w:val="18"/>
              </w:rPr>
            </w:pPr>
            <w:r>
              <w:rPr>
                <w:rFonts w:ascii="Times New Roman" w:hAnsi="Times New Roman" w:eastAsia="Times New Roman"/>
                <w:sz w:val="18"/>
              </w:rPr>
              <w:t>380</w:t>
            </w:r>
            <w:r>
              <w:rPr>
                <w:spacing w:val="-7"/>
                <w:sz w:val="18"/>
              </w:rPr>
              <w:t>℃、常压、醋酸、</w:t>
            </w:r>
          </w:p>
          <w:p>
            <w:pPr>
              <w:pStyle w:val="TableParagraph"/>
              <w:spacing w:line="215" w:lineRule="exact" w:before="2"/>
              <w:ind w:left="52" w:right="35"/>
              <w:rPr>
                <w:sz w:val="18"/>
              </w:rPr>
            </w:pPr>
            <w:r>
              <w:rPr>
                <w:sz w:val="18"/>
              </w:rPr>
              <w:t>氨、乙腈、水</w:t>
            </w:r>
          </w:p>
        </w:tc>
      </w:tr>
      <w:tr>
        <w:trPr>
          <w:trHeight w:val="465" w:hRule="atLeast"/>
        </w:trPr>
        <w:tc>
          <w:tcPr>
            <w:tcW w:w="686" w:type="dxa"/>
          </w:tcPr>
          <w:p>
            <w:pPr>
              <w:pStyle w:val="TableParagraph"/>
              <w:spacing w:before="124"/>
              <w:ind w:left="141" w:right="133"/>
              <w:rPr>
                <w:rFonts w:ascii="Times New Roman"/>
                <w:sz w:val="18"/>
              </w:rPr>
            </w:pPr>
            <w:r>
              <w:rPr>
                <w:rFonts w:ascii="Times New Roman"/>
                <w:sz w:val="18"/>
              </w:rPr>
              <w:t>10</w:t>
            </w:r>
          </w:p>
        </w:tc>
        <w:tc>
          <w:tcPr>
            <w:tcW w:w="2104" w:type="dxa"/>
          </w:tcPr>
          <w:p>
            <w:pPr>
              <w:pStyle w:val="TableParagraph"/>
              <w:spacing w:before="117"/>
              <w:ind w:left="489" w:right="483"/>
              <w:rPr>
                <w:sz w:val="18"/>
              </w:rPr>
            </w:pPr>
            <w:r>
              <w:rPr>
                <w:sz w:val="18"/>
              </w:rPr>
              <w:t>气液分离罐</w:t>
            </w:r>
          </w:p>
        </w:tc>
        <w:tc>
          <w:tcPr>
            <w:tcW w:w="2310" w:type="dxa"/>
          </w:tcPr>
          <w:p>
            <w:pPr>
              <w:pStyle w:val="TableParagraph"/>
              <w:spacing w:before="124"/>
              <w:ind w:left="103" w:right="90"/>
              <w:rPr>
                <w:rFonts w:ascii="Times New Roman"/>
                <w:sz w:val="18"/>
              </w:rPr>
            </w:pPr>
            <w:r>
              <w:rPr>
                <w:rFonts w:ascii="Times New Roman"/>
                <w:sz w:val="18"/>
              </w:rPr>
              <w:t>F3000L</w:t>
            </w:r>
          </w:p>
        </w:tc>
        <w:tc>
          <w:tcPr>
            <w:tcW w:w="1362" w:type="dxa"/>
          </w:tcPr>
          <w:p>
            <w:pPr>
              <w:pStyle w:val="TableParagraph"/>
              <w:spacing w:before="117"/>
              <w:ind w:left="412"/>
              <w:jc w:val="left"/>
              <w:rPr>
                <w:sz w:val="18"/>
              </w:rPr>
            </w:pPr>
            <w:r>
              <w:rPr>
                <w:sz w:val="18"/>
              </w:rPr>
              <w:t>搪玻璃</w:t>
            </w:r>
          </w:p>
        </w:tc>
        <w:tc>
          <w:tcPr>
            <w:tcW w:w="836" w:type="dxa"/>
          </w:tcPr>
          <w:p>
            <w:pPr>
              <w:pStyle w:val="TableParagraph"/>
              <w:spacing w:before="124"/>
              <w:ind w:left="15"/>
              <w:rPr>
                <w:rFonts w:ascii="Times New Roman"/>
                <w:sz w:val="18"/>
              </w:rPr>
            </w:pPr>
            <w:r>
              <w:rPr>
                <w:rFonts w:ascii="Times New Roman"/>
                <w:sz w:val="18"/>
              </w:rPr>
              <w:t>2</w:t>
            </w:r>
          </w:p>
        </w:tc>
        <w:tc>
          <w:tcPr>
            <w:tcW w:w="1798" w:type="dxa"/>
          </w:tcPr>
          <w:p>
            <w:pPr>
              <w:pStyle w:val="TableParagraph"/>
              <w:spacing w:line="230" w:lineRule="exact"/>
              <w:ind w:left="57" w:right="35"/>
              <w:rPr>
                <w:sz w:val="18"/>
              </w:rPr>
            </w:pPr>
            <w:r>
              <w:rPr>
                <w:rFonts w:ascii="Times New Roman" w:hAnsi="Times New Roman" w:eastAsia="Times New Roman"/>
                <w:sz w:val="18"/>
              </w:rPr>
              <w:t>150</w:t>
            </w:r>
            <w:r>
              <w:rPr>
                <w:sz w:val="18"/>
              </w:rPr>
              <w:t>℃、常压、乙酰</w:t>
            </w:r>
          </w:p>
          <w:p>
            <w:pPr>
              <w:pStyle w:val="TableParagraph"/>
              <w:spacing w:line="213" w:lineRule="exact" w:before="2"/>
              <w:ind w:left="52" w:right="35"/>
              <w:rPr>
                <w:sz w:val="18"/>
              </w:rPr>
            </w:pPr>
            <w:r>
              <w:rPr>
                <w:sz w:val="18"/>
              </w:rPr>
              <w:t>胺，乙腈，水</w:t>
            </w:r>
          </w:p>
        </w:tc>
      </w:tr>
      <w:tr>
        <w:trPr>
          <w:trHeight w:val="467" w:hRule="atLeast"/>
        </w:trPr>
        <w:tc>
          <w:tcPr>
            <w:tcW w:w="686" w:type="dxa"/>
          </w:tcPr>
          <w:p>
            <w:pPr>
              <w:pStyle w:val="TableParagraph"/>
              <w:spacing w:before="124"/>
              <w:ind w:left="143" w:right="132"/>
              <w:rPr>
                <w:rFonts w:ascii="Times New Roman"/>
                <w:sz w:val="18"/>
              </w:rPr>
            </w:pPr>
            <w:r>
              <w:rPr>
                <w:rFonts w:ascii="Times New Roman"/>
                <w:sz w:val="18"/>
              </w:rPr>
              <w:t>11</w:t>
            </w:r>
          </w:p>
        </w:tc>
        <w:tc>
          <w:tcPr>
            <w:tcW w:w="2104" w:type="dxa"/>
          </w:tcPr>
          <w:p>
            <w:pPr>
              <w:pStyle w:val="TableParagraph"/>
              <w:spacing w:before="117"/>
              <w:ind w:left="489" w:right="483"/>
              <w:rPr>
                <w:sz w:val="18"/>
              </w:rPr>
            </w:pPr>
            <w:r>
              <w:rPr>
                <w:sz w:val="18"/>
              </w:rPr>
              <w:t>换热器</w:t>
            </w:r>
          </w:p>
        </w:tc>
        <w:tc>
          <w:tcPr>
            <w:tcW w:w="2310" w:type="dxa"/>
          </w:tcPr>
          <w:p>
            <w:pPr>
              <w:pStyle w:val="TableParagraph"/>
              <w:spacing w:before="124"/>
              <w:ind w:left="103" w:right="90"/>
              <w:rPr>
                <w:rFonts w:ascii="Times New Roman" w:hAnsi="Times New Roman"/>
                <w:sz w:val="18"/>
              </w:rPr>
            </w:pPr>
            <w:r>
              <w:rPr>
                <w:rFonts w:ascii="Times New Roman" w:hAnsi="Times New Roman"/>
                <w:sz w:val="18"/>
              </w:rPr>
              <w:t>Ø400x2000 F=20m</w:t>
            </w:r>
            <w:r>
              <w:rPr>
                <w:rFonts w:ascii="Times New Roman" w:hAnsi="Times New Roman"/>
                <w:sz w:val="18"/>
                <w:vertAlign w:val="superscript"/>
              </w:rPr>
              <w:t>2</w:t>
            </w:r>
          </w:p>
        </w:tc>
        <w:tc>
          <w:tcPr>
            <w:tcW w:w="1362" w:type="dxa"/>
          </w:tcPr>
          <w:p>
            <w:pPr>
              <w:pStyle w:val="TableParagraph"/>
              <w:spacing w:before="117"/>
              <w:ind w:left="343"/>
              <w:jc w:val="left"/>
              <w:rPr>
                <w:sz w:val="18"/>
              </w:rPr>
            </w:pPr>
            <w:r>
              <w:rPr>
                <w:rFonts w:ascii="Times New Roman" w:eastAsia="Times New Roman"/>
                <w:sz w:val="18"/>
              </w:rPr>
              <w:t>316/</w:t>
            </w:r>
            <w:r>
              <w:rPr>
                <w:sz w:val="18"/>
              </w:rPr>
              <w:t>碳钢</w:t>
            </w:r>
          </w:p>
        </w:tc>
        <w:tc>
          <w:tcPr>
            <w:tcW w:w="836" w:type="dxa"/>
          </w:tcPr>
          <w:p>
            <w:pPr>
              <w:pStyle w:val="TableParagraph"/>
              <w:spacing w:before="124"/>
              <w:ind w:left="15"/>
              <w:rPr>
                <w:rFonts w:ascii="Times New Roman"/>
                <w:sz w:val="18"/>
              </w:rPr>
            </w:pPr>
            <w:r>
              <w:rPr>
                <w:rFonts w:ascii="Times New Roman"/>
                <w:sz w:val="18"/>
              </w:rPr>
              <w:t>2</w:t>
            </w:r>
          </w:p>
        </w:tc>
        <w:tc>
          <w:tcPr>
            <w:tcW w:w="1798" w:type="dxa"/>
          </w:tcPr>
          <w:p>
            <w:pPr>
              <w:pStyle w:val="TableParagraph"/>
              <w:spacing w:line="230" w:lineRule="exact"/>
              <w:ind w:left="57" w:right="35"/>
              <w:rPr>
                <w:sz w:val="18"/>
              </w:rPr>
            </w:pPr>
            <w:r>
              <w:rPr>
                <w:rFonts w:ascii="Times New Roman" w:hAnsi="Times New Roman" w:eastAsia="Times New Roman"/>
                <w:sz w:val="18"/>
              </w:rPr>
              <w:t>120</w:t>
            </w:r>
            <w:r>
              <w:rPr>
                <w:sz w:val="18"/>
              </w:rPr>
              <w:t>℃、</w:t>
            </w:r>
            <w:r>
              <w:rPr>
                <w:rFonts w:ascii="Times New Roman" w:hAnsi="Times New Roman" w:eastAsia="Times New Roman"/>
                <w:sz w:val="18"/>
              </w:rPr>
              <w:t>0.05MPa</w:t>
            </w:r>
            <w:r>
              <w:rPr>
                <w:sz w:val="18"/>
              </w:rPr>
              <w:t>、醋</w:t>
            </w:r>
          </w:p>
          <w:p>
            <w:pPr>
              <w:pStyle w:val="TableParagraph"/>
              <w:spacing w:line="215" w:lineRule="exact" w:before="2"/>
              <w:ind w:left="19"/>
              <w:rPr>
                <w:sz w:val="18"/>
              </w:rPr>
            </w:pPr>
            <w:r>
              <w:rPr>
                <w:sz w:val="18"/>
              </w:rPr>
              <w:t>酸</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12</w:t>
            </w:r>
          </w:p>
        </w:tc>
        <w:tc>
          <w:tcPr>
            <w:tcW w:w="2104" w:type="dxa"/>
          </w:tcPr>
          <w:p>
            <w:pPr>
              <w:pStyle w:val="TableParagraph"/>
              <w:spacing w:before="117"/>
              <w:ind w:left="489" w:right="483"/>
              <w:rPr>
                <w:sz w:val="18"/>
              </w:rPr>
            </w:pPr>
            <w:r>
              <w:rPr>
                <w:sz w:val="18"/>
              </w:rPr>
              <w:t>冷凝器</w:t>
            </w:r>
          </w:p>
        </w:tc>
        <w:tc>
          <w:tcPr>
            <w:tcW w:w="2310" w:type="dxa"/>
          </w:tcPr>
          <w:p>
            <w:pPr>
              <w:pStyle w:val="TableParagraph"/>
              <w:spacing w:before="124"/>
              <w:ind w:left="103" w:right="90"/>
              <w:rPr>
                <w:rFonts w:ascii="Times New Roman" w:hAnsi="Times New Roman"/>
                <w:sz w:val="18"/>
              </w:rPr>
            </w:pPr>
            <w:r>
              <w:rPr>
                <w:rFonts w:ascii="Times New Roman" w:hAnsi="Times New Roman"/>
                <w:sz w:val="18"/>
              </w:rPr>
              <w:t>Ø600x3000 F=70m</w:t>
            </w:r>
            <w:r>
              <w:rPr>
                <w:rFonts w:ascii="Times New Roman" w:hAnsi="Times New Roman"/>
                <w:sz w:val="18"/>
                <w:vertAlign w:val="superscript"/>
              </w:rPr>
              <w:t>2</w:t>
            </w:r>
          </w:p>
        </w:tc>
        <w:tc>
          <w:tcPr>
            <w:tcW w:w="1362" w:type="dxa"/>
          </w:tcPr>
          <w:p>
            <w:pPr>
              <w:pStyle w:val="TableParagraph"/>
              <w:spacing w:before="117"/>
              <w:ind w:left="343"/>
              <w:jc w:val="left"/>
              <w:rPr>
                <w:sz w:val="18"/>
              </w:rPr>
            </w:pPr>
            <w:r>
              <w:rPr>
                <w:rFonts w:ascii="Times New Roman" w:eastAsia="Times New Roman"/>
                <w:sz w:val="18"/>
              </w:rPr>
              <w:t>316/</w:t>
            </w:r>
            <w:r>
              <w:rPr>
                <w:sz w:val="18"/>
              </w:rPr>
              <w:t>碳钢</w:t>
            </w:r>
          </w:p>
        </w:tc>
        <w:tc>
          <w:tcPr>
            <w:tcW w:w="836" w:type="dxa"/>
          </w:tcPr>
          <w:p>
            <w:pPr>
              <w:pStyle w:val="TableParagraph"/>
              <w:spacing w:before="124"/>
              <w:ind w:left="15"/>
              <w:rPr>
                <w:rFonts w:ascii="Times New Roman"/>
                <w:sz w:val="18"/>
              </w:rPr>
            </w:pPr>
            <w:r>
              <w:rPr>
                <w:rFonts w:ascii="Times New Roman"/>
                <w:sz w:val="18"/>
              </w:rPr>
              <w:t>2</w:t>
            </w:r>
          </w:p>
        </w:tc>
        <w:tc>
          <w:tcPr>
            <w:tcW w:w="1798" w:type="dxa"/>
          </w:tcPr>
          <w:p>
            <w:pPr>
              <w:pStyle w:val="TableParagraph"/>
              <w:ind w:left="113" w:right="-15"/>
              <w:rPr>
                <w:sz w:val="18"/>
              </w:rPr>
            </w:pPr>
            <w:r>
              <w:rPr>
                <w:rFonts w:ascii="Times New Roman" w:hAnsi="Times New Roman" w:eastAsia="Times New Roman"/>
                <w:sz w:val="18"/>
              </w:rPr>
              <w:t>380</w:t>
            </w:r>
            <w:r>
              <w:rPr>
                <w:spacing w:val="-7"/>
                <w:sz w:val="18"/>
              </w:rPr>
              <w:t>℃、常压、醋酸、</w:t>
            </w:r>
          </w:p>
          <w:p>
            <w:pPr>
              <w:pStyle w:val="TableParagraph"/>
              <w:spacing w:line="215" w:lineRule="exact" w:before="2"/>
              <w:ind w:left="52" w:right="35"/>
              <w:rPr>
                <w:sz w:val="18"/>
              </w:rPr>
            </w:pPr>
            <w:r>
              <w:rPr>
                <w:sz w:val="18"/>
              </w:rPr>
              <w:t>氨、乙腈、水</w:t>
            </w:r>
          </w:p>
        </w:tc>
      </w:tr>
      <w:tr>
        <w:trPr>
          <w:trHeight w:val="465" w:hRule="atLeast"/>
        </w:trPr>
        <w:tc>
          <w:tcPr>
            <w:tcW w:w="686" w:type="dxa"/>
          </w:tcPr>
          <w:p>
            <w:pPr>
              <w:pStyle w:val="TableParagraph"/>
              <w:spacing w:before="124"/>
              <w:ind w:left="141" w:right="133"/>
              <w:rPr>
                <w:rFonts w:ascii="Times New Roman"/>
                <w:sz w:val="18"/>
              </w:rPr>
            </w:pPr>
            <w:r>
              <w:rPr>
                <w:rFonts w:ascii="Times New Roman"/>
                <w:sz w:val="18"/>
              </w:rPr>
              <w:t>13</w:t>
            </w:r>
          </w:p>
        </w:tc>
        <w:tc>
          <w:tcPr>
            <w:tcW w:w="2104" w:type="dxa"/>
          </w:tcPr>
          <w:p>
            <w:pPr>
              <w:pStyle w:val="TableParagraph"/>
              <w:spacing w:before="117"/>
              <w:ind w:left="489" w:right="483"/>
              <w:rPr>
                <w:sz w:val="18"/>
              </w:rPr>
            </w:pPr>
            <w:r>
              <w:rPr>
                <w:sz w:val="18"/>
              </w:rPr>
              <w:t>粗品罐</w:t>
            </w:r>
          </w:p>
        </w:tc>
        <w:tc>
          <w:tcPr>
            <w:tcW w:w="2310" w:type="dxa"/>
          </w:tcPr>
          <w:p>
            <w:pPr>
              <w:pStyle w:val="TableParagraph"/>
              <w:spacing w:before="117"/>
              <w:ind w:left="103" w:right="92"/>
              <w:rPr>
                <w:rFonts w:ascii="Times New Roman" w:hAnsi="Times New Roman" w:eastAsia="Times New Roman"/>
                <w:sz w:val="18"/>
              </w:rPr>
            </w:pPr>
            <w:r>
              <w:rPr>
                <w:rFonts w:ascii="Times New Roman" w:hAnsi="Times New Roman" w:eastAsia="Times New Roman"/>
                <w:sz w:val="18"/>
              </w:rPr>
              <w:t>Ø2000x3000 Vn</w:t>
            </w:r>
            <w:r>
              <w:rPr>
                <w:sz w:val="18"/>
              </w:rPr>
              <w:t>＝</w:t>
            </w:r>
            <w:r>
              <w:rPr>
                <w:rFonts w:ascii="Times New Roman" w:hAnsi="Times New Roman" w:eastAsia="Times New Roman"/>
                <w:sz w:val="18"/>
              </w:rPr>
              <w:t>10m</w:t>
            </w:r>
            <w:r>
              <w:rPr>
                <w:rFonts w:ascii="Times New Roman" w:hAnsi="Times New Roman" w:eastAsia="Times New Roman"/>
                <w:sz w:val="18"/>
                <w:vertAlign w:val="superscript"/>
              </w:rPr>
              <w:t>3</w:t>
            </w:r>
          </w:p>
        </w:tc>
        <w:tc>
          <w:tcPr>
            <w:tcW w:w="1362" w:type="dxa"/>
          </w:tcPr>
          <w:p>
            <w:pPr>
              <w:pStyle w:val="TableParagraph"/>
              <w:spacing w:before="117"/>
              <w:ind w:left="412"/>
              <w:jc w:val="left"/>
              <w:rPr>
                <w:sz w:val="18"/>
              </w:rPr>
            </w:pPr>
            <w:r>
              <w:rPr>
                <w:sz w:val="18"/>
              </w:rPr>
              <w:t>不锈钢</w:t>
            </w:r>
          </w:p>
        </w:tc>
        <w:tc>
          <w:tcPr>
            <w:tcW w:w="836" w:type="dxa"/>
          </w:tcPr>
          <w:p>
            <w:pPr>
              <w:pStyle w:val="TableParagraph"/>
              <w:spacing w:before="124"/>
              <w:ind w:left="15"/>
              <w:rPr>
                <w:rFonts w:ascii="Times New Roman"/>
                <w:sz w:val="18"/>
              </w:rPr>
            </w:pPr>
            <w:r>
              <w:rPr>
                <w:rFonts w:ascii="Times New Roman"/>
                <w:sz w:val="18"/>
              </w:rPr>
              <w:t>4</w:t>
            </w:r>
          </w:p>
        </w:tc>
        <w:tc>
          <w:tcPr>
            <w:tcW w:w="1798" w:type="dxa"/>
          </w:tcPr>
          <w:p>
            <w:pPr>
              <w:pStyle w:val="TableParagraph"/>
              <w:ind w:left="61" w:right="3"/>
              <w:rPr>
                <w:sz w:val="18"/>
              </w:rPr>
            </w:pPr>
            <w:r>
              <w:rPr>
                <w:sz w:val="18"/>
              </w:rPr>
              <w:t>常温、常压、乙腈，</w:t>
            </w:r>
          </w:p>
          <w:p>
            <w:pPr>
              <w:pStyle w:val="TableParagraph"/>
              <w:spacing w:line="213" w:lineRule="exact" w:before="2"/>
              <w:ind w:left="19"/>
              <w:rPr>
                <w:sz w:val="18"/>
              </w:rPr>
            </w:pPr>
            <w:r>
              <w:rPr>
                <w:sz w:val="18"/>
              </w:rPr>
              <w:t>水</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14</w:t>
            </w:r>
          </w:p>
        </w:tc>
        <w:tc>
          <w:tcPr>
            <w:tcW w:w="2104" w:type="dxa"/>
          </w:tcPr>
          <w:p>
            <w:pPr>
              <w:pStyle w:val="TableParagraph"/>
              <w:spacing w:before="117"/>
              <w:ind w:left="489" w:right="483"/>
              <w:rPr>
                <w:sz w:val="18"/>
              </w:rPr>
            </w:pPr>
            <w:r>
              <w:rPr>
                <w:sz w:val="18"/>
              </w:rPr>
              <w:t>精馏塔</w:t>
            </w:r>
          </w:p>
        </w:tc>
        <w:tc>
          <w:tcPr>
            <w:tcW w:w="2310" w:type="dxa"/>
          </w:tcPr>
          <w:p>
            <w:pPr>
              <w:pStyle w:val="TableParagraph"/>
              <w:spacing w:before="7"/>
              <w:ind w:left="103" w:right="91"/>
              <w:rPr>
                <w:rFonts w:ascii="Times New Roman" w:hAnsi="Times New Roman"/>
                <w:sz w:val="18"/>
              </w:rPr>
            </w:pPr>
            <w:r>
              <w:rPr>
                <w:rFonts w:ascii="Times New Roman" w:hAnsi="Times New Roman"/>
                <w:sz w:val="18"/>
              </w:rPr>
              <w:t>Ø800x18000</w:t>
            </w:r>
          </w:p>
          <w:p>
            <w:pPr>
              <w:pStyle w:val="TableParagraph"/>
              <w:spacing w:line="227" w:lineRule="exact" w:before="6"/>
              <w:ind w:left="100" w:right="92"/>
              <w:rPr>
                <w:sz w:val="18"/>
              </w:rPr>
            </w:pPr>
            <w:r>
              <w:rPr>
                <w:sz w:val="18"/>
              </w:rPr>
              <w:t>不锈钢丝网填料</w:t>
            </w:r>
          </w:p>
        </w:tc>
        <w:tc>
          <w:tcPr>
            <w:tcW w:w="1362" w:type="dxa"/>
          </w:tcPr>
          <w:p>
            <w:pPr>
              <w:pStyle w:val="TableParagraph"/>
              <w:spacing w:before="117"/>
              <w:ind w:left="389" w:right="379"/>
              <w:rPr>
                <w:sz w:val="18"/>
              </w:rPr>
            </w:pPr>
            <w:r>
              <w:rPr>
                <w:sz w:val="18"/>
              </w:rPr>
              <w:t>碳钢</w:t>
            </w:r>
          </w:p>
        </w:tc>
        <w:tc>
          <w:tcPr>
            <w:tcW w:w="836" w:type="dxa"/>
          </w:tcPr>
          <w:p>
            <w:pPr>
              <w:pStyle w:val="TableParagraph"/>
              <w:spacing w:before="124"/>
              <w:ind w:left="15"/>
              <w:rPr>
                <w:rFonts w:ascii="Times New Roman"/>
                <w:sz w:val="18"/>
              </w:rPr>
            </w:pPr>
            <w:r>
              <w:rPr>
                <w:rFonts w:ascii="Times New Roman"/>
                <w:sz w:val="18"/>
              </w:rPr>
              <w:t>1</w:t>
            </w:r>
          </w:p>
        </w:tc>
        <w:tc>
          <w:tcPr>
            <w:tcW w:w="1798" w:type="dxa"/>
          </w:tcPr>
          <w:p>
            <w:pPr>
              <w:pStyle w:val="TableParagraph"/>
              <w:spacing w:line="230" w:lineRule="exact"/>
              <w:ind w:left="61" w:right="3"/>
              <w:rPr>
                <w:sz w:val="18"/>
              </w:rPr>
            </w:pPr>
            <w:r>
              <w:rPr>
                <w:rFonts w:ascii="Times New Roman" w:hAnsi="Times New Roman" w:eastAsia="Times New Roman"/>
                <w:sz w:val="18"/>
              </w:rPr>
              <w:t>80</w:t>
            </w:r>
            <w:r>
              <w:rPr>
                <w:sz w:val="18"/>
              </w:rPr>
              <w:t>℃、常压、乙腈，</w:t>
            </w:r>
          </w:p>
          <w:p>
            <w:pPr>
              <w:pStyle w:val="TableParagraph"/>
              <w:spacing w:line="213" w:lineRule="exact" w:before="4"/>
              <w:ind w:left="19"/>
              <w:rPr>
                <w:sz w:val="18"/>
              </w:rPr>
            </w:pPr>
            <w:r>
              <w:rPr>
                <w:sz w:val="18"/>
              </w:rPr>
              <w:t>水</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15</w:t>
            </w:r>
          </w:p>
        </w:tc>
        <w:tc>
          <w:tcPr>
            <w:tcW w:w="2104" w:type="dxa"/>
          </w:tcPr>
          <w:p>
            <w:pPr>
              <w:pStyle w:val="TableParagraph"/>
              <w:spacing w:before="117"/>
              <w:ind w:left="489" w:right="483"/>
              <w:rPr>
                <w:sz w:val="18"/>
              </w:rPr>
            </w:pPr>
            <w:r>
              <w:rPr>
                <w:sz w:val="18"/>
              </w:rPr>
              <w:t>精馏塔</w:t>
            </w:r>
          </w:p>
        </w:tc>
        <w:tc>
          <w:tcPr>
            <w:tcW w:w="2310" w:type="dxa"/>
          </w:tcPr>
          <w:p>
            <w:pPr>
              <w:pStyle w:val="TableParagraph"/>
              <w:spacing w:line="230" w:lineRule="exact"/>
              <w:ind w:left="103" w:right="92"/>
              <w:rPr>
                <w:sz w:val="18"/>
              </w:rPr>
            </w:pPr>
            <w:r>
              <w:rPr>
                <w:rFonts w:ascii="Times New Roman" w:hAnsi="Times New Roman" w:eastAsia="Times New Roman"/>
                <w:sz w:val="18"/>
              </w:rPr>
              <w:t>Ø600x14000 </w:t>
            </w:r>
            <w:r>
              <w:rPr>
                <w:sz w:val="18"/>
              </w:rPr>
              <w:t>不锈钢丝网填</w:t>
            </w:r>
          </w:p>
          <w:p>
            <w:pPr>
              <w:pStyle w:val="TableParagraph"/>
              <w:spacing w:line="215" w:lineRule="exact" w:before="2"/>
              <w:ind w:left="8"/>
              <w:rPr>
                <w:sz w:val="18"/>
              </w:rPr>
            </w:pPr>
            <w:r>
              <w:rPr>
                <w:sz w:val="18"/>
              </w:rPr>
              <w:t>料</w:t>
            </w:r>
          </w:p>
        </w:tc>
        <w:tc>
          <w:tcPr>
            <w:tcW w:w="1362" w:type="dxa"/>
          </w:tcPr>
          <w:p>
            <w:pPr>
              <w:pStyle w:val="TableParagraph"/>
              <w:spacing w:before="117"/>
              <w:ind w:left="389" w:right="379"/>
              <w:rPr>
                <w:sz w:val="18"/>
              </w:rPr>
            </w:pPr>
            <w:r>
              <w:rPr>
                <w:sz w:val="18"/>
              </w:rPr>
              <w:t>碳钢</w:t>
            </w:r>
          </w:p>
        </w:tc>
        <w:tc>
          <w:tcPr>
            <w:tcW w:w="836" w:type="dxa"/>
          </w:tcPr>
          <w:p>
            <w:pPr>
              <w:pStyle w:val="TableParagraph"/>
              <w:spacing w:before="124"/>
              <w:ind w:left="15"/>
              <w:rPr>
                <w:rFonts w:ascii="Times New Roman"/>
                <w:sz w:val="18"/>
              </w:rPr>
            </w:pPr>
            <w:r>
              <w:rPr>
                <w:rFonts w:ascii="Times New Roman"/>
                <w:sz w:val="18"/>
              </w:rPr>
              <w:t>1</w:t>
            </w:r>
          </w:p>
        </w:tc>
        <w:tc>
          <w:tcPr>
            <w:tcW w:w="1798" w:type="dxa"/>
          </w:tcPr>
          <w:p>
            <w:pPr>
              <w:pStyle w:val="TableParagraph"/>
              <w:spacing w:line="230" w:lineRule="exact"/>
              <w:ind w:left="57" w:right="35"/>
              <w:rPr>
                <w:sz w:val="18"/>
              </w:rPr>
            </w:pPr>
            <w:r>
              <w:rPr>
                <w:rFonts w:ascii="Times New Roman" w:hAnsi="Times New Roman" w:eastAsia="Times New Roman"/>
                <w:sz w:val="18"/>
              </w:rPr>
              <w:t>130</w:t>
            </w:r>
            <w:r>
              <w:rPr>
                <w:sz w:val="18"/>
              </w:rPr>
              <w:t>℃、</w:t>
            </w:r>
            <w:r>
              <w:rPr>
                <w:rFonts w:ascii="Times New Roman" w:hAnsi="Times New Roman" w:eastAsia="Times New Roman"/>
                <w:sz w:val="18"/>
              </w:rPr>
              <w:t>0.3MPa</w:t>
            </w:r>
            <w:r>
              <w:rPr>
                <w:b/>
                <w:sz w:val="18"/>
              </w:rPr>
              <w:t>、 </w:t>
            </w:r>
            <w:r>
              <w:rPr>
                <w:sz w:val="18"/>
              </w:rPr>
              <w:t>乙</w:t>
            </w:r>
          </w:p>
          <w:p>
            <w:pPr>
              <w:pStyle w:val="TableParagraph"/>
              <w:spacing w:line="215" w:lineRule="exact" w:before="2"/>
              <w:ind w:left="54" w:right="35"/>
              <w:rPr>
                <w:sz w:val="18"/>
              </w:rPr>
            </w:pPr>
            <w:r>
              <w:rPr>
                <w:sz w:val="18"/>
              </w:rPr>
              <w:t>腈，水</w:t>
            </w:r>
          </w:p>
        </w:tc>
      </w:tr>
      <w:tr>
        <w:trPr>
          <w:trHeight w:val="465" w:hRule="atLeast"/>
        </w:trPr>
        <w:tc>
          <w:tcPr>
            <w:tcW w:w="686" w:type="dxa"/>
          </w:tcPr>
          <w:p>
            <w:pPr>
              <w:pStyle w:val="TableParagraph"/>
              <w:spacing w:before="124"/>
              <w:ind w:left="141" w:right="133"/>
              <w:rPr>
                <w:rFonts w:ascii="Times New Roman"/>
                <w:sz w:val="18"/>
              </w:rPr>
            </w:pPr>
            <w:r>
              <w:rPr>
                <w:rFonts w:ascii="Times New Roman"/>
                <w:sz w:val="18"/>
              </w:rPr>
              <w:t>16</w:t>
            </w:r>
          </w:p>
        </w:tc>
        <w:tc>
          <w:tcPr>
            <w:tcW w:w="2104" w:type="dxa"/>
          </w:tcPr>
          <w:p>
            <w:pPr>
              <w:pStyle w:val="TableParagraph"/>
              <w:spacing w:before="117"/>
              <w:ind w:left="489" w:right="483"/>
              <w:rPr>
                <w:sz w:val="18"/>
              </w:rPr>
            </w:pPr>
            <w:r>
              <w:rPr>
                <w:sz w:val="18"/>
              </w:rPr>
              <w:t>塔顶冷凝器</w:t>
            </w:r>
          </w:p>
        </w:tc>
        <w:tc>
          <w:tcPr>
            <w:tcW w:w="2310" w:type="dxa"/>
          </w:tcPr>
          <w:p>
            <w:pPr>
              <w:pStyle w:val="TableParagraph"/>
              <w:spacing w:before="117"/>
              <w:ind w:left="102" w:right="92"/>
              <w:rPr>
                <w:rFonts w:ascii="Times New Roman" w:hAnsi="Times New Roman" w:eastAsia="Times New Roman"/>
                <w:sz w:val="18"/>
              </w:rPr>
            </w:pPr>
            <w:r>
              <w:rPr>
                <w:rFonts w:ascii="Times New Roman" w:hAnsi="Times New Roman" w:eastAsia="Times New Roman"/>
                <w:sz w:val="18"/>
              </w:rPr>
              <w:t>Ø600x3000 F</w:t>
            </w:r>
            <w:r>
              <w:rPr>
                <w:sz w:val="18"/>
              </w:rPr>
              <w:t>＝</w:t>
            </w:r>
            <w:r>
              <w:rPr>
                <w:rFonts w:ascii="Times New Roman" w:hAnsi="Times New Roman" w:eastAsia="Times New Roman"/>
                <w:sz w:val="18"/>
              </w:rPr>
              <w:t>70m</w:t>
            </w:r>
            <w:r>
              <w:rPr>
                <w:rFonts w:ascii="Times New Roman" w:hAnsi="Times New Roman" w:eastAsia="Times New Roman"/>
                <w:sz w:val="18"/>
                <w:vertAlign w:val="superscript"/>
              </w:rPr>
              <w:t>2</w:t>
            </w:r>
          </w:p>
        </w:tc>
        <w:tc>
          <w:tcPr>
            <w:tcW w:w="1362" w:type="dxa"/>
          </w:tcPr>
          <w:p>
            <w:pPr>
              <w:pStyle w:val="TableParagraph"/>
              <w:spacing w:before="117"/>
              <w:ind w:left="389" w:right="379"/>
              <w:rPr>
                <w:sz w:val="18"/>
              </w:rPr>
            </w:pPr>
            <w:r>
              <w:rPr>
                <w:sz w:val="18"/>
              </w:rPr>
              <w:t>碳钢</w:t>
            </w:r>
          </w:p>
        </w:tc>
        <w:tc>
          <w:tcPr>
            <w:tcW w:w="836" w:type="dxa"/>
          </w:tcPr>
          <w:p>
            <w:pPr>
              <w:pStyle w:val="TableParagraph"/>
              <w:spacing w:before="124"/>
              <w:ind w:left="15"/>
              <w:rPr>
                <w:rFonts w:ascii="Times New Roman"/>
                <w:sz w:val="18"/>
              </w:rPr>
            </w:pPr>
            <w:r>
              <w:rPr>
                <w:rFonts w:ascii="Times New Roman"/>
                <w:sz w:val="18"/>
              </w:rPr>
              <w:t>1</w:t>
            </w:r>
          </w:p>
        </w:tc>
        <w:tc>
          <w:tcPr>
            <w:tcW w:w="1798" w:type="dxa"/>
          </w:tcPr>
          <w:p>
            <w:pPr>
              <w:pStyle w:val="TableParagraph"/>
              <w:ind w:left="61" w:right="3"/>
              <w:rPr>
                <w:sz w:val="18"/>
              </w:rPr>
            </w:pPr>
            <w:r>
              <w:rPr>
                <w:sz w:val="18"/>
              </w:rPr>
              <w:t>常温、常压、乙腈，</w:t>
            </w:r>
          </w:p>
          <w:p>
            <w:pPr>
              <w:pStyle w:val="TableParagraph"/>
              <w:spacing w:line="213" w:lineRule="exact" w:before="2"/>
              <w:ind w:left="19"/>
              <w:rPr>
                <w:sz w:val="18"/>
              </w:rPr>
            </w:pPr>
            <w:r>
              <w:rPr>
                <w:sz w:val="18"/>
              </w:rPr>
              <w:t>水</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17</w:t>
            </w:r>
          </w:p>
        </w:tc>
        <w:tc>
          <w:tcPr>
            <w:tcW w:w="2104" w:type="dxa"/>
          </w:tcPr>
          <w:p>
            <w:pPr>
              <w:pStyle w:val="TableParagraph"/>
              <w:spacing w:before="117"/>
              <w:ind w:left="489" w:right="483"/>
              <w:rPr>
                <w:sz w:val="18"/>
              </w:rPr>
            </w:pPr>
            <w:r>
              <w:rPr>
                <w:sz w:val="18"/>
              </w:rPr>
              <w:t>塔顶冷凝器</w:t>
            </w:r>
          </w:p>
        </w:tc>
        <w:tc>
          <w:tcPr>
            <w:tcW w:w="2310" w:type="dxa"/>
          </w:tcPr>
          <w:p>
            <w:pPr>
              <w:pStyle w:val="TableParagraph"/>
              <w:spacing w:before="117"/>
              <w:ind w:left="102" w:right="92"/>
              <w:rPr>
                <w:rFonts w:ascii="Times New Roman" w:hAnsi="Times New Roman" w:eastAsia="Times New Roman"/>
                <w:sz w:val="18"/>
              </w:rPr>
            </w:pPr>
            <w:r>
              <w:rPr>
                <w:rFonts w:ascii="Times New Roman" w:hAnsi="Times New Roman" w:eastAsia="Times New Roman"/>
                <w:sz w:val="18"/>
              </w:rPr>
              <w:t>Ø600x2000 F</w:t>
            </w:r>
            <w:r>
              <w:rPr>
                <w:sz w:val="18"/>
              </w:rPr>
              <w:t>＝</w:t>
            </w:r>
            <w:r>
              <w:rPr>
                <w:rFonts w:ascii="Times New Roman" w:hAnsi="Times New Roman" w:eastAsia="Times New Roman"/>
                <w:sz w:val="18"/>
              </w:rPr>
              <w:t>45m</w:t>
            </w:r>
            <w:r>
              <w:rPr>
                <w:rFonts w:ascii="Times New Roman" w:hAnsi="Times New Roman" w:eastAsia="Times New Roman"/>
                <w:sz w:val="18"/>
                <w:vertAlign w:val="superscript"/>
              </w:rPr>
              <w:t>2</w:t>
            </w:r>
          </w:p>
        </w:tc>
        <w:tc>
          <w:tcPr>
            <w:tcW w:w="1362" w:type="dxa"/>
          </w:tcPr>
          <w:p>
            <w:pPr>
              <w:pStyle w:val="TableParagraph"/>
              <w:spacing w:before="117"/>
              <w:ind w:left="389" w:right="379"/>
              <w:rPr>
                <w:sz w:val="18"/>
              </w:rPr>
            </w:pPr>
            <w:r>
              <w:rPr>
                <w:sz w:val="18"/>
              </w:rPr>
              <w:t>碳钢</w:t>
            </w:r>
          </w:p>
        </w:tc>
        <w:tc>
          <w:tcPr>
            <w:tcW w:w="836" w:type="dxa"/>
          </w:tcPr>
          <w:p>
            <w:pPr>
              <w:pStyle w:val="TableParagraph"/>
              <w:spacing w:before="124"/>
              <w:ind w:left="15"/>
              <w:rPr>
                <w:rFonts w:ascii="Times New Roman"/>
                <w:sz w:val="18"/>
              </w:rPr>
            </w:pPr>
            <w:r>
              <w:rPr>
                <w:rFonts w:ascii="Times New Roman"/>
                <w:sz w:val="18"/>
              </w:rPr>
              <w:t>1</w:t>
            </w:r>
          </w:p>
        </w:tc>
        <w:tc>
          <w:tcPr>
            <w:tcW w:w="1798" w:type="dxa"/>
          </w:tcPr>
          <w:p>
            <w:pPr>
              <w:pStyle w:val="TableParagraph"/>
              <w:ind w:left="61" w:right="3"/>
              <w:rPr>
                <w:sz w:val="18"/>
              </w:rPr>
            </w:pPr>
            <w:r>
              <w:rPr>
                <w:sz w:val="18"/>
              </w:rPr>
              <w:t>常温、常压、乙腈，</w:t>
            </w:r>
          </w:p>
          <w:p>
            <w:pPr>
              <w:pStyle w:val="TableParagraph"/>
              <w:spacing w:line="213" w:lineRule="exact" w:before="4"/>
              <w:ind w:left="19"/>
              <w:rPr>
                <w:sz w:val="18"/>
              </w:rPr>
            </w:pPr>
            <w:r>
              <w:rPr>
                <w:sz w:val="18"/>
              </w:rPr>
              <w:t>水</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18</w:t>
            </w:r>
          </w:p>
        </w:tc>
        <w:tc>
          <w:tcPr>
            <w:tcW w:w="2104" w:type="dxa"/>
          </w:tcPr>
          <w:p>
            <w:pPr>
              <w:pStyle w:val="TableParagraph"/>
              <w:spacing w:before="117"/>
              <w:ind w:left="489" w:right="483"/>
              <w:rPr>
                <w:sz w:val="18"/>
              </w:rPr>
            </w:pPr>
            <w:r>
              <w:rPr>
                <w:sz w:val="18"/>
              </w:rPr>
              <w:t>再沸器</w:t>
            </w:r>
          </w:p>
        </w:tc>
        <w:tc>
          <w:tcPr>
            <w:tcW w:w="2310" w:type="dxa"/>
          </w:tcPr>
          <w:p>
            <w:pPr>
              <w:pStyle w:val="TableParagraph"/>
              <w:spacing w:before="117"/>
              <w:ind w:left="103" w:right="90"/>
              <w:rPr>
                <w:rFonts w:ascii="Times New Roman" w:hAnsi="Times New Roman" w:eastAsia="Times New Roman"/>
                <w:sz w:val="18"/>
              </w:rPr>
            </w:pPr>
            <w:r>
              <w:rPr>
                <w:rFonts w:ascii="Times New Roman" w:hAnsi="Times New Roman" w:eastAsia="Times New Roman"/>
                <w:sz w:val="18"/>
              </w:rPr>
              <w:t>Ø800x3000 F</w:t>
            </w:r>
            <w:r>
              <w:rPr>
                <w:sz w:val="18"/>
              </w:rPr>
              <w:t>＝</w:t>
            </w:r>
            <w:r>
              <w:rPr>
                <w:rFonts w:ascii="Times New Roman" w:hAnsi="Times New Roman" w:eastAsia="Times New Roman"/>
                <w:sz w:val="18"/>
              </w:rPr>
              <w:t>130m</w:t>
            </w:r>
            <w:r>
              <w:rPr>
                <w:rFonts w:ascii="Times New Roman" w:hAnsi="Times New Roman" w:eastAsia="Times New Roman"/>
                <w:sz w:val="18"/>
                <w:vertAlign w:val="superscript"/>
              </w:rPr>
              <w:t>2</w:t>
            </w:r>
          </w:p>
        </w:tc>
        <w:tc>
          <w:tcPr>
            <w:tcW w:w="1362" w:type="dxa"/>
          </w:tcPr>
          <w:p>
            <w:pPr>
              <w:pStyle w:val="TableParagraph"/>
              <w:spacing w:before="117"/>
              <w:ind w:left="343"/>
              <w:jc w:val="left"/>
              <w:rPr>
                <w:sz w:val="18"/>
              </w:rPr>
            </w:pPr>
            <w:r>
              <w:rPr>
                <w:rFonts w:ascii="Times New Roman" w:eastAsia="Times New Roman"/>
                <w:sz w:val="18"/>
              </w:rPr>
              <w:t>304/</w:t>
            </w:r>
            <w:r>
              <w:rPr>
                <w:sz w:val="18"/>
              </w:rPr>
              <w:t>碳钢</w:t>
            </w:r>
          </w:p>
        </w:tc>
        <w:tc>
          <w:tcPr>
            <w:tcW w:w="836" w:type="dxa"/>
          </w:tcPr>
          <w:p>
            <w:pPr>
              <w:pStyle w:val="TableParagraph"/>
              <w:spacing w:before="124"/>
              <w:ind w:left="15"/>
              <w:rPr>
                <w:rFonts w:ascii="Times New Roman"/>
                <w:sz w:val="18"/>
              </w:rPr>
            </w:pPr>
            <w:r>
              <w:rPr>
                <w:rFonts w:ascii="Times New Roman"/>
                <w:sz w:val="18"/>
              </w:rPr>
              <w:t>1</w:t>
            </w:r>
          </w:p>
        </w:tc>
        <w:tc>
          <w:tcPr>
            <w:tcW w:w="1798" w:type="dxa"/>
          </w:tcPr>
          <w:p>
            <w:pPr>
              <w:pStyle w:val="TableParagraph"/>
              <w:spacing w:line="230" w:lineRule="exact"/>
              <w:ind w:left="61" w:right="3"/>
              <w:rPr>
                <w:sz w:val="18"/>
              </w:rPr>
            </w:pPr>
            <w:r>
              <w:rPr>
                <w:rFonts w:ascii="Times New Roman" w:hAnsi="Times New Roman" w:eastAsia="Times New Roman"/>
                <w:sz w:val="18"/>
              </w:rPr>
              <w:t>80</w:t>
            </w:r>
            <w:r>
              <w:rPr>
                <w:sz w:val="18"/>
              </w:rPr>
              <w:t>℃、常压、乙腈，</w:t>
            </w:r>
          </w:p>
          <w:p>
            <w:pPr>
              <w:pStyle w:val="TableParagraph"/>
              <w:spacing w:line="215" w:lineRule="exact" w:before="2"/>
              <w:ind w:left="19"/>
              <w:rPr>
                <w:sz w:val="18"/>
              </w:rPr>
            </w:pPr>
            <w:r>
              <w:rPr>
                <w:sz w:val="18"/>
              </w:rPr>
              <w:t>水</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19</w:t>
            </w:r>
          </w:p>
        </w:tc>
        <w:tc>
          <w:tcPr>
            <w:tcW w:w="2104" w:type="dxa"/>
          </w:tcPr>
          <w:p>
            <w:pPr>
              <w:pStyle w:val="TableParagraph"/>
              <w:spacing w:before="117"/>
              <w:ind w:left="489" w:right="483"/>
              <w:rPr>
                <w:sz w:val="18"/>
              </w:rPr>
            </w:pPr>
            <w:r>
              <w:rPr>
                <w:sz w:val="18"/>
              </w:rPr>
              <w:t>再沸器</w:t>
            </w:r>
          </w:p>
        </w:tc>
        <w:tc>
          <w:tcPr>
            <w:tcW w:w="2310" w:type="dxa"/>
          </w:tcPr>
          <w:p>
            <w:pPr>
              <w:pStyle w:val="TableParagraph"/>
              <w:spacing w:before="117"/>
              <w:ind w:left="103" w:right="90"/>
              <w:rPr>
                <w:rFonts w:ascii="Times New Roman" w:hAnsi="Times New Roman" w:eastAsia="Times New Roman"/>
                <w:sz w:val="18"/>
              </w:rPr>
            </w:pPr>
            <w:r>
              <w:rPr>
                <w:rFonts w:ascii="Times New Roman" w:hAnsi="Times New Roman" w:eastAsia="Times New Roman"/>
                <w:sz w:val="18"/>
              </w:rPr>
              <w:t>Ø800x3000 F</w:t>
            </w:r>
            <w:r>
              <w:rPr>
                <w:sz w:val="18"/>
              </w:rPr>
              <w:t>＝</w:t>
            </w:r>
            <w:r>
              <w:rPr>
                <w:rFonts w:ascii="Times New Roman" w:hAnsi="Times New Roman" w:eastAsia="Times New Roman"/>
                <w:sz w:val="18"/>
              </w:rPr>
              <w:t>130m</w:t>
            </w:r>
            <w:r>
              <w:rPr>
                <w:rFonts w:ascii="Times New Roman" w:hAnsi="Times New Roman" w:eastAsia="Times New Roman"/>
                <w:sz w:val="18"/>
                <w:vertAlign w:val="superscript"/>
              </w:rPr>
              <w:t>2</w:t>
            </w:r>
          </w:p>
        </w:tc>
        <w:tc>
          <w:tcPr>
            <w:tcW w:w="1362" w:type="dxa"/>
          </w:tcPr>
          <w:p>
            <w:pPr>
              <w:pStyle w:val="TableParagraph"/>
              <w:spacing w:before="117"/>
              <w:ind w:left="343"/>
              <w:jc w:val="left"/>
              <w:rPr>
                <w:sz w:val="18"/>
              </w:rPr>
            </w:pPr>
            <w:r>
              <w:rPr>
                <w:rFonts w:ascii="Times New Roman" w:eastAsia="Times New Roman"/>
                <w:sz w:val="18"/>
              </w:rPr>
              <w:t>304/</w:t>
            </w:r>
            <w:r>
              <w:rPr>
                <w:sz w:val="18"/>
              </w:rPr>
              <w:t>碳钢</w:t>
            </w:r>
          </w:p>
        </w:tc>
        <w:tc>
          <w:tcPr>
            <w:tcW w:w="836" w:type="dxa"/>
          </w:tcPr>
          <w:p>
            <w:pPr>
              <w:pStyle w:val="TableParagraph"/>
              <w:spacing w:before="124"/>
              <w:ind w:left="15"/>
              <w:rPr>
                <w:rFonts w:ascii="Times New Roman"/>
                <w:sz w:val="18"/>
              </w:rPr>
            </w:pPr>
            <w:r>
              <w:rPr>
                <w:rFonts w:ascii="Times New Roman"/>
                <w:sz w:val="18"/>
              </w:rPr>
              <w:t>1</w:t>
            </w:r>
          </w:p>
        </w:tc>
        <w:tc>
          <w:tcPr>
            <w:tcW w:w="1798" w:type="dxa"/>
          </w:tcPr>
          <w:p>
            <w:pPr>
              <w:pStyle w:val="TableParagraph"/>
              <w:spacing w:line="230" w:lineRule="exact"/>
              <w:ind w:left="57" w:right="35"/>
              <w:rPr>
                <w:sz w:val="18"/>
              </w:rPr>
            </w:pPr>
            <w:r>
              <w:rPr>
                <w:rFonts w:ascii="Times New Roman" w:hAnsi="Times New Roman" w:eastAsia="Times New Roman"/>
                <w:sz w:val="18"/>
              </w:rPr>
              <w:t>130</w:t>
            </w:r>
            <w:r>
              <w:rPr>
                <w:sz w:val="18"/>
              </w:rPr>
              <w:t>℃、</w:t>
            </w:r>
            <w:r>
              <w:rPr>
                <w:rFonts w:ascii="Times New Roman" w:hAnsi="Times New Roman" w:eastAsia="Times New Roman"/>
                <w:sz w:val="18"/>
              </w:rPr>
              <w:t>0.3MPa</w:t>
            </w:r>
            <w:r>
              <w:rPr>
                <w:b/>
                <w:sz w:val="18"/>
              </w:rPr>
              <w:t>、 </w:t>
            </w:r>
            <w:r>
              <w:rPr>
                <w:sz w:val="18"/>
              </w:rPr>
              <w:t>乙</w:t>
            </w:r>
          </w:p>
          <w:p>
            <w:pPr>
              <w:pStyle w:val="TableParagraph"/>
              <w:spacing w:line="215" w:lineRule="exact" w:before="2"/>
              <w:ind w:left="54" w:right="35"/>
              <w:rPr>
                <w:sz w:val="18"/>
              </w:rPr>
            </w:pPr>
            <w:r>
              <w:rPr>
                <w:sz w:val="18"/>
              </w:rPr>
              <w:t>腈，水</w:t>
            </w:r>
          </w:p>
        </w:tc>
      </w:tr>
      <w:tr>
        <w:trPr>
          <w:trHeight w:val="405" w:hRule="atLeast"/>
        </w:trPr>
        <w:tc>
          <w:tcPr>
            <w:tcW w:w="686" w:type="dxa"/>
          </w:tcPr>
          <w:p>
            <w:pPr>
              <w:pStyle w:val="TableParagraph"/>
              <w:spacing w:before="93"/>
              <w:ind w:left="141" w:right="133"/>
              <w:rPr>
                <w:rFonts w:ascii="Times New Roman"/>
                <w:sz w:val="18"/>
              </w:rPr>
            </w:pPr>
            <w:r>
              <w:rPr>
                <w:rFonts w:ascii="Times New Roman"/>
                <w:sz w:val="18"/>
              </w:rPr>
              <w:t>20</w:t>
            </w:r>
          </w:p>
        </w:tc>
        <w:tc>
          <w:tcPr>
            <w:tcW w:w="2104" w:type="dxa"/>
          </w:tcPr>
          <w:p>
            <w:pPr>
              <w:pStyle w:val="TableParagraph"/>
              <w:spacing w:before="86"/>
              <w:ind w:left="489" w:right="483"/>
              <w:rPr>
                <w:sz w:val="18"/>
              </w:rPr>
            </w:pPr>
            <w:r>
              <w:rPr>
                <w:sz w:val="18"/>
              </w:rPr>
              <w:t>成品槽</w:t>
            </w:r>
          </w:p>
        </w:tc>
        <w:tc>
          <w:tcPr>
            <w:tcW w:w="2310" w:type="dxa"/>
          </w:tcPr>
          <w:p>
            <w:pPr>
              <w:pStyle w:val="TableParagraph"/>
              <w:spacing w:before="86"/>
              <w:ind w:left="103" w:right="92"/>
              <w:rPr>
                <w:rFonts w:ascii="Times New Roman" w:hAnsi="Times New Roman" w:eastAsia="Times New Roman"/>
                <w:sz w:val="18"/>
              </w:rPr>
            </w:pPr>
            <w:r>
              <w:rPr>
                <w:rFonts w:ascii="Times New Roman" w:hAnsi="Times New Roman" w:eastAsia="Times New Roman"/>
                <w:sz w:val="18"/>
              </w:rPr>
              <w:t>Ø2000x3000 Vn</w:t>
            </w:r>
            <w:r>
              <w:rPr>
                <w:sz w:val="18"/>
              </w:rPr>
              <w:t>＝</w:t>
            </w:r>
            <w:r>
              <w:rPr>
                <w:rFonts w:ascii="Times New Roman" w:hAnsi="Times New Roman" w:eastAsia="Times New Roman"/>
                <w:sz w:val="18"/>
              </w:rPr>
              <w:t>10m</w:t>
            </w:r>
            <w:r>
              <w:rPr>
                <w:rFonts w:ascii="Times New Roman" w:hAnsi="Times New Roman" w:eastAsia="Times New Roman"/>
                <w:sz w:val="18"/>
                <w:vertAlign w:val="superscript"/>
              </w:rPr>
              <w:t>3</w:t>
            </w:r>
          </w:p>
        </w:tc>
        <w:tc>
          <w:tcPr>
            <w:tcW w:w="1362" w:type="dxa"/>
          </w:tcPr>
          <w:p>
            <w:pPr>
              <w:pStyle w:val="TableParagraph"/>
              <w:spacing w:before="86"/>
              <w:ind w:left="389" w:right="379"/>
              <w:rPr>
                <w:sz w:val="18"/>
              </w:rPr>
            </w:pPr>
            <w:r>
              <w:rPr>
                <w:sz w:val="18"/>
              </w:rPr>
              <w:t>碳钢</w:t>
            </w:r>
          </w:p>
        </w:tc>
        <w:tc>
          <w:tcPr>
            <w:tcW w:w="836" w:type="dxa"/>
          </w:tcPr>
          <w:p>
            <w:pPr>
              <w:pStyle w:val="TableParagraph"/>
              <w:spacing w:before="93"/>
              <w:ind w:left="15"/>
              <w:rPr>
                <w:rFonts w:ascii="Times New Roman"/>
                <w:sz w:val="18"/>
              </w:rPr>
            </w:pPr>
            <w:r>
              <w:rPr>
                <w:rFonts w:ascii="Times New Roman"/>
                <w:sz w:val="18"/>
              </w:rPr>
              <w:t>2</w:t>
            </w:r>
          </w:p>
        </w:tc>
        <w:tc>
          <w:tcPr>
            <w:tcW w:w="1798" w:type="dxa"/>
          </w:tcPr>
          <w:p>
            <w:pPr>
              <w:pStyle w:val="TableParagraph"/>
              <w:spacing w:before="86"/>
              <w:ind w:right="163"/>
              <w:jc w:val="right"/>
              <w:rPr>
                <w:sz w:val="18"/>
              </w:rPr>
            </w:pPr>
            <w:r>
              <w:rPr>
                <w:sz w:val="18"/>
              </w:rPr>
              <w:t>常温、常压、乙腈</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21</w:t>
            </w:r>
          </w:p>
        </w:tc>
        <w:tc>
          <w:tcPr>
            <w:tcW w:w="2104" w:type="dxa"/>
          </w:tcPr>
          <w:p>
            <w:pPr>
              <w:pStyle w:val="TableParagraph"/>
              <w:spacing w:before="117"/>
              <w:ind w:left="489" w:right="483"/>
              <w:rPr>
                <w:sz w:val="18"/>
              </w:rPr>
            </w:pPr>
            <w:r>
              <w:rPr>
                <w:sz w:val="18"/>
              </w:rPr>
              <w:t>中间槽</w:t>
            </w:r>
          </w:p>
        </w:tc>
        <w:tc>
          <w:tcPr>
            <w:tcW w:w="2310" w:type="dxa"/>
          </w:tcPr>
          <w:p>
            <w:pPr>
              <w:pStyle w:val="TableParagraph"/>
              <w:spacing w:before="117"/>
              <w:ind w:left="102" w:right="92"/>
              <w:rPr>
                <w:rFonts w:ascii="Times New Roman" w:hAnsi="Times New Roman" w:eastAsia="Times New Roman"/>
                <w:sz w:val="18"/>
              </w:rPr>
            </w:pPr>
            <w:r>
              <w:rPr>
                <w:rFonts w:ascii="Times New Roman" w:hAnsi="Times New Roman" w:eastAsia="Times New Roman"/>
                <w:sz w:val="18"/>
              </w:rPr>
              <w:t>Ø1600x3400 Vn</w:t>
            </w:r>
            <w:r>
              <w:rPr>
                <w:sz w:val="18"/>
              </w:rPr>
              <w:t>＝</w:t>
            </w:r>
            <w:r>
              <w:rPr>
                <w:rFonts w:ascii="Times New Roman" w:hAnsi="Times New Roman" w:eastAsia="Times New Roman"/>
                <w:sz w:val="18"/>
              </w:rPr>
              <w:t>6m</w:t>
            </w:r>
            <w:r>
              <w:rPr>
                <w:rFonts w:ascii="Times New Roman" w:hAnsi="Times New Roman" w:eastAsia="Times New Roman"/>
                <w:sz w:val="18"/>
                <w:vertAlign w:val="superscript"/>
              </w:rPr>
              <w:t>3</w:t>
            </w:r>
          </w:p>
        </w:tc>
        <w:tc>
          <w:tcPr>
            <w:tcW w:w="1362" w:type="dxa"/>
          </w:tcPr>
          <w:p>
            <w:pPr>
              <w:pStyle w:val="TableParagraph"/>
              <w:spacing w:before="117"/>
              <w:ind w:left="389" w:right="379"/>
              <w:rPr>
                <w:sz w:val="18"/>
              </w:rPr>
            </w:pPr>
            <w:r>
              <w:rPr>
                <w:sz w:val="18"/>
              </w:rPr>
              <w:t>碳钢</w:t>
            </w:r>
          </w:p>
        </w:tc>
        <w:tc>
          <w:tcPr>
            <w:tcW w:w="836" w:type="dxa"/>
          </w:tcPr>
          <w:p>
            <w:pPr>
              <w:pStyle w:val="TableParagraph"/>
              <w:spacing w:before="124"/>
              <w:ind w:left="15"/>
              <w:rPr>
                <w:rFonts w:ascii="Times New Roman"/>
                <w:sz w:val="18"/>
              </w:rPr>
            </w:pPr>
            <w:r>
              <w:rPr>
                <w:rFonts w:ascii="Times New Roman"/>
                <w:sz w:val="18"/>
              </w:rPr>
              <w:t>2</w:t>
            </w:r>
          </w:p>
        </w:tc>
        <w:tc>
          <w:tcPr>
            <w:tcW w:w="1798" w:type="dxa"/>
          </w:tcPr>
          <w:p>
            <w:pPr>
              <w:pStyle w:val="TableParagraph"/>
              <w:spacing w:line="230" w:lineRule="exact"/>
              <w:ind w:left="61" w:right="3"/>
              <w:rPr>
                <w:sz w:val="18"/>
              </w:rPr>
            </w:pPr>
            <w:r>
              <w:rPr>
                <w:sz w:val="18"/>
              </w:rPr>
              <w:t>常温、常压、乙腈、</w:t>
            </w:r>
          </w:p>
          <w:p>
            <w:pPr>
              <w:pStyle w:val="TableParagraph"/>
              <w:spacing w:line="215" w:lineRule="exact" w:before="2"/>
              <w:ind w:left="19"/>
              <w:rPr>
                <w:sz w:val="18"/>
              </w:rPr>
            </w:pPr>
            <w:r>
              <w:rPr>
                <w:sz w:val="18"/>
              </w:rPr>
              <w:t>水</w:t>
            </w:r>
          </w:p>
        </w:tc>
      </w:tr>
      <w:tr>
        <w:trPr>
          <w:trHeight w:val="405" w:hRule="atLeast"/>
        </w:trPr>
        <w:tc>
          <w:tcPr>
            <w:tcW w:w="686" w:type="dxa"/>
          </w:tcPr>
          <w:p>
            <w:pPr>
              <w:pStyle w:val="TableParagraph"/>
              <w:spacing w:before="93"/>
              <w:ind w:left="141" w:right="133"/>
              <w:rPr>
                <w:rFonts w:ascii="Times New Roman"/>
                <w:sz w:val="18"/>
              </w:rPr>
            </w:pPr>
            <w:r>
              <w:rPr>
                <w:rFonts w:ascii="Times New Roman"/>
                <w:sz w:val="18"/>
              </w:rPr>
              <w:t>22</w:t>
            </w:r>
          </w:p>
        </w:tc>
        <w:tc>
          <w:tcPr>
            <w:tcW w:w="2104" w:type="dxa"/>
          </w:tcPr>
          <w:p>
            <w:pPr>
              <w:pStyle w:val="TableParagraph"/>
              <w:spacing w:before="86"/>
              <w:ind w:left="491" w:right="483"/>
              <w:rPr>
                <w:sz w:val="18"/>
              </w:rPr>
            </w:pPr>
            <w:r>
              <w:rPr>
                <w:sz w:val="18"/>
              </w:rPr>
              <w:t>产品储罐</w:t>
            </w:r>
          </w:p>
        </w:tc>
        <w:tc>
          <w:tcPr>
            <w:tcW w:w="2310" w:type="dxa"/>
          </w:tcPr>
          <w:p>
            <w:pPr>
              <w:pStyle w:val="TableParagraph"/>
              <w:spacing w:before="86"/>
              <w:ind w:left="103" w:right="92"/>
              <w:rPr>
                <w:rFonts w:ascii="Times New Roman" w:hAnsi="Times New Roman" w:eastAsia="Times New Roman"/>
                <w:sz w:val="18"/>
              </w:rPr>
            </w:pPr>
            <w:r>
              <w:rPr>
                <w:rFonts w:ascii="Times New Roman" w:hAnsi="Times New Roman" w:eastAsia="Times New Roman"/>
                <w:sz w:val="18"/>
              </w:rPr>
              <w:t>Ø3600x4800 Vn</w:t>
            </w:r>
            <w:r>
              <w:rPr>
                <w:sz w:val="18"/>
              </w:rPr>
              <w:t>＝</w:t>
            </w:r>
            <w:r>
              <w:rPr>
                <w:rFonts w:ascii="Times New Roman" w:hAnsi="Times New Roman" w:eastAsia="Times New Roman"/>
                <w:sz w:val="18"/>
              </w:rPr>
              <w:t>50m</w:t>
            </w:r>
            <w:r>
              <w:rPr>
                <w:rFonts w:ascii="Times New Roman" w:hAnsi="Times New Roman" w:eastAsia="Times New Roman"/>
                <w:sz w:val="18"/>
                <w:vertAlign w:val="superscript"/>
              </w:rPr>
              <w:t>3</w:t>
            </w:r>
          </w:p>
        </w:tc>
        <w:tc>
          <w:tcPr>
            <w:tcW w:w="1362" w:type="dxa"/>
          </w:tcPr>
          <w:p>
            <w:pPr>
              <w:pStyle w:val="TableParagraph"/>
              <w:spacing w:before="86"/>
              <w:ind w:left="389" w:right="379"/>
              <w:rPr>
                <w:sz w:val="18"/>
              </w:rPr>
            </w:pPr>
            <w:r>
              <w:rPr>
                <w:sz w:val="18"/>
              </w:rPr>
              <w:t>碳钢</w:t>
            </w:r>
          </w:p>
        </w:tc>
        <w:tc>
          <w:tcPr>
            <w:tcW w:w="836" w:type="dxa"/>
          </w:tcPr>
          <w:p>
            <w:pPr>
              <w:pStyle w:val="TableParagraph"/>
              <w:spacing w:before="93"/>
              <w:ind w:left="15"/>
              <w:rPr>
                <w:rFonts w:ascii="Times New Roman"/>
                <w:sz w:val="18"/>
              </w:rPr>
            </w:pPr>
            <w:r>
              <w:rPr>
                <w:rFonts w:ascii="Times New Roman"/>
                <w:sz w:val="18"/>
              </w:rPr>
              <w:t>2</w:t>
            </w:r>
          </w:p>
        </w:tc>
        <w:tc>
          <w:tcPr>
            <w:tcW w:w="1798" w:type="dxa"/>
          </w:tcPr>
          <w:p>
            <w:pPr>
              <w:pStyle w:val="TableParagraph"/>
              <w:spacing w:before="86"/>
              <w:ind w:right="163"/>
              <w:jc w:val="right"/>
              <w:rPr>
                <w:sz w:val="18"/>
              </w:rPr>
            </w:pPr>
            <w:r>
              <w:rPr>
                <w:sz w:val="18"/>
              </w:rPr>
              <w:t>常温、常压、乙腈</w:t>
            </w:r>
          </w:p>
        </w:tc>
      </w:tr>
      <w:tr>
        <w:trPr>
          <w:trHeight w:val="467" w:hRule="atLeast"/>
        </w:trPr>
        <w:tc>
          <w:tcPr>
            <w:tcW w:w="686" w:type="dxa"/>
          </w:tcPr>
          <w:p>
            <w:pPr>
              <w:pStyle w:val="TableParagraph"/>
              <w:spacing w:before="124"/>
              <w:ind w:left="141" w:right="133"/>
              <w:rPr>
                <w:rFonts w:ascii="Times New Roman"/>
                <w:sz w:val="18"/>
              </w:rPr>
            </w:pPr>
            <w:r>
              <w:rPr>
                <w:rFonts w:ascii="Times New Roman"/>
                <w:sz w:val="18"/>
              </w:rPr>
              <w:t>23</w:t>
            </w:r>
          </w:p>
        </w:tc>
        <w:tc>
          <w:tcPr>
            <w:tcW w:w="2104" w:type="dxa"/>
          </w:tcPr>
          <w:p>
            <w:pPr>
              <w:pStyle w:val="TableParagraph"/>
              <w:spacing w:before="117"/>
              <w:ind w:left="489" w:right="483"/>
              <w:rPr>
                <w:sz w:val="18"/>
              </w:rPr>
            </w:pPr>
            <w:r>
              <w:rPr>
                <w:sz w:val="18"/>
              </w:rPr>
              <w:t>打料泵</w:t>
            </w:r>
          </w:p>
        </w:tc>
        <w:tc>
          <w:tcPr>
            <w:tcW w:w="2310" w:type="dxa"/>
          </w:tcPr>
          <w:p>
            <w:pPr>
              <w:pStyle w:val="TableParagraph"/>
              <w:spacing w:line="230" w:lineRule="exact"/>
              <w:ind w:left="103" w:right="89"/>
              <w:rPr>
                <w:rFonts w:ascii="Times New Roman" w:eastAsia="Times New Roman"/>
                <w:sz w:val="18"/>
              </w:rPr>
            </w:pPr>
            <w:r>
              <w:rPr>
                <w:rFonts w:ascii="Times New Roman" w:eastAsia="Times New Roman"/>
                <w:sz w:val="18"/>
              </w:rPr>
              <w:t>Q=15m</w:t>
            </w:r>
            <w:r>
              <w:rPr>
                <w:rFonts w:ascii="Times New Roman" w:eastAsia="Times New Roman"/>
                <w:sz w:val="18"/>
                <w:vertAlign w:val="superscript"/>
              </w:rPr>
              <w:t>3</w:t>
            </w:r>
            <w:r>
              <w:rPr>
                <w:rFonts w:ascii="Times New Roman" w:eastAsia="Times New Roman"/>
                <w:sz w:val="18"/>
                <w:vertAlign w:val="baseline"/>
              </w:rPr>
              <w:t>/h H</w:t>
            </w:r>
            <w:r>
              <w:rPr>
                <w:sz w:val="18"/>
                <w:vertAlign w:val="baseline"/>
              </w:rPr>
              <w:t>＝</w:t>
            </w:r>
            <w:r>
              <w:rPr>
                <w:rFonts w:ascii="Times New Roman" w:eastAsia="Times New Roman"/>
                <w:sz w:val="18"/>
                <w:vertAlign w:val="baseline"/>
              </w:rPr>
              <w:t>32m</w:t>
            </w:r>
          </w:p>
          <w:p>
            <w:pPr>
              <w:pStyle w:val="TableParagraph"/>
              <w:spacing w:line="215" w:lineRule="exact" w:before="2"/>
              <w:ind w:left="103" w:right="86"/>
              <w:rPr>
                <w:rFonts w:ascii="Times New Roman" w:eastAsia="Times New Roman"/>
                <w:sz w:val="18"/>
              </w:rPr>
            </w:pPr>
            <w:r>
              <w:rPr>
                <w:sz w:val="18"/>
              </w:rPr>
              <w:t>防爆电机 </w:t>
            </w:r>
            <w:r>
              <w:rPr>
                <w:rFonts w:ascii="Times New Roman" w:eastAsia="Times New Roman"/>
                <w:sz w:val="18"/>
              </w:rPr>
              <w:t>4kw</w:t>
            </w:r>
          </w:p>
        </w:tc>
        <w:tc>
          <w:tcPr>
            <w:tcW w:w="1362" w:type="dxa"/>
          </w:tcPr>
          <w:p>
            <w:pPr>
              <w:pStyle w:val="TableParagraph"/>
              <w:spacing w:line="230" w:lineRule="exact"/>
              <w:ind w:left="412"/>
              <w:jc w:val="left"/>
              <w:rPr>
                <w:sz w:val="18"/>
              </w:rPr>
            </w:pPr>
            <w:r>
              <w:rPr>
                <w:sz w:val="18"/>
              </w:rPr>
              <w:t>不锈钢</w:t>
            </w:r>
          </w:p>
          <w:p>
            <w:pPr>
              <w:pStyle w:val="TableParagraph"/>
              <w:spacing w:line="215" w:lineRule="exact" w:before="2"/>
              <w:ind w:left="412"/>
              <w:jc w:val="left"/>
              <w:rPr>
                <w:sz w:val="18"/>
              </w:rPr>
            </w:pPr>
            <w:r>
              <w:rPr>
                <w:sz w:val="18"/>
              </w:rPr>
              <w:t>磁力泵</w:t>
            </w:r>
          </w:p>
        </w:tc>
        <w:tc>
          <w:tcPr>
            <w:tcW w:w="836" w:type="dxa"/>
          </w:tcPr>
          <w:p>
            <w:pPr>
              <w:pStyle w:val="TableParagraph"/>
              <w:spacing w:before="124"/>
              <w:ind w:left="15"/>
              <w:rPr>
                <w:rFonts w:ascii="Times New Roman"/>
                <w:sz w:val="18"/>
              </w:rPr>
            </w:pPr>
            <w:r>
              <w:rPr>
                <w:rFonts w:ascii="Times New Roman"/>
                <w:sz w:val="18"/>
              </w:rPr>
              <w:t>6</w:t>
            </w:r>
          </w:p>
        </w:tc>
        <w:tc>
          <w:tcPr>
            <w:tcW w:w="1798" w:type="dxa"/>
          </w:tcPr>
          <w:p>
            <w:pPr>
              <w:pStyle w:val="TableParagraph"/>
              <w:spacing w:before="117"/>
              <w:ind w:right="88"/>
              <w:jc w:val="right"/>
              <w:rPr>
                <w:sz w:val="18"/>
              </w:rPr>
            </w:pPr>
            <w:r>
              <w:rPr>
                <w:sz w:val="18"/>
              </w:rPr>
              <w:t>常温、</w:t>
            </w:r>
            <w:r>
              <w:rPr>
                <w:rFonts w:ascii="Times New Roman" w:eastAsia="Times New Roman"/>
                <w:sz w:val="18"/>
              </w:rPr>
              <w:t>0.3MPa</w:t>
            </w:r>
            <w:r>
              <w:rPr>
                <w:sz w:val="18"/>
              </w:rPr>
              <w:t>、醋酸</w:t>
            </w:r>
          </w:p>
        </w:tc>
      </w:tr>
      <w:tr>
        <w:trPr>
          <w:trHeight w:val="465" w:hRule="atLeast"/>
        </w:trPr>
        <w:tc>
          <w:tcPr>
            <w:tcW w:w="686" w:type="dxa"/>
          </w:tcPr>
          <w:p>
            <w:pPr>
              <w:pStyle w:val="TableParagraph"/>
              <w:spacing w:before="124"/>
              <w:ind w:left="141" w:right="133"/>
              <w:rPr>
                <w:rFonts w:ascii="Times New Roman"/>
                <w:sz w:val="18"/>
              </w:rPr>
            </w:pPr>
            <w:r>
              <w:rPr>
                <w:rFonts w:ascii="Times New Roman"/>
                <w:sz w:val="18"/>
              </w:rPr>
              <w:t>24</w:t>
            </w:r>
          </w:p>
        </w:tc>
        <w:tc>
          <w:tcPr>
            <w:tcW w:w="2104" w:type="dxa"/>
          </w:tcPr>
          <w:p>
            <w:pPr>
              <w:pStyle w:val="TableParagraph"/>
              <w:spacing w:before="117"/>
              <w:ind w:left="489" w:right="483"/>
              <w:rPr>
                <w:sz w:val="18"/>
              </w:rPr>
            </w:pPr>
            <w:r>
              <w:rPr>
                <w:sz w:val="18"/>
              </w:rPr>
              <w:t>循环泵</w:t>
            </w:r>
          </w:p>
        </w:tc>
        <w:tc>
          <w:tcPr>
            <w:tcW w:w="2310" w:type="dxa"/>
          </w:tcPr>
          <w:p>
            <w:pPr>
              <w:pStyle w:val="TableParagraph"/>
              <w:ind w:left="103" w:right="89"/>
              <w:rPr>
                <w:rFonts w:ascii="Times New Roman" w:eastAsia="Times New Roman"/>
                <w:sz w:val="18"/>
              </w:rPr>
            </w:pPr>
            <w:r>
              <w:rPr>
                <w:rFonts w:ascii="Times New Roman" w:eastAsia="Times New Roman"/>
                <w:sz w:val="18"/>
              </w:rPr>
              <w:t>Q=15m</w:t>
            </w:r>
            <w:r>
              <w:rPr>
                <w:rFonts w:ascii="Times New Roman" w:eastAsia="Times New Roman"/>
                <w:sz w:val="18"/>
                <w:vertAlign w:val="superscript"/>
              </w:rPr>
              <w:t>3</w:t>
            </w:r>
            <w:r>
              <w:rPr>
                <w:rFonts w:ascii="Times New Roman" w:eastAsia="Times New Roman"/>
                <w:sz w:val="18"/>
                <w:vertAlign w:val="baseline"/>
              </w:rPr>
              <w:t>/h H</w:t>
            </w:r>
            <w:r>
              <w:rPr>
                <w:sz w:val="18"/>
                <w:vertAlign w:val="baseline"/>
              </w:rPr>
              <w:t>＝</w:t>
            </w:r>
            <w:r>
              <w:rPr>
                <w:rFonts w:ascii="Times New Roman" w:eastAsia="Times New Roman"/>
                <w:sz w:val="18"/>
                <w:vertAlign w:val="baseline"/>
              </w:rPr>
              <w:t>32m</w:t>
            </w:r>
          </w:p>
          <w:p>
            <w:pPr>
              <w:pStyle w:val="TableParagraph"/>
              <w:spacing w:line="213" w:lineRule="exact" w:before="2"/>
              <w:ind w:left="103" w:right="86"/>
              <w:rPr>
                <w:rFonts w:ascii="Times New Roman" w:eastAsia="Times New Roman"/>
                <w:sz w:val="18"/>
              </w:rPr>
            </w:pPr>
            <w:r>
              <w:rPr>
                <w:sz w:val="18"/>
              </w:rPr>
              <w:t>防爆电机 </w:t>
            </w:r>
            <w:r>
              <w:rPr>
                <w:rFonts w:ascii="Times New Roman" w:eastAsia="Times New Roman"/>
                <w:sz w:val="18"/>
              </w:rPr>
              <w:t>4kw</w:t>
            </w:r>
          </w:p>
        </w:tc>
        <w:tc>
          <w:tcPr>
            <w:tcW w:w="1362" w:type="dxa"/>
          </w:tcPr>
          <w:p>
            <w:pPr>
              <w:pStyle w:val="TableParagraph"/>
              <w:ind w:left="389" w:right="379"/>
              <w:rPr>
                <w:sz w:val="18"/>
              </w:rPr>
            </w:pPr>
            <w:r>
              <w:rPr>
                <w:sz w:val="18"/>
              </w:rPr>
              <w:t>碳钢</w:t>
            </w:r>
          </w:p>
          <w:p>
            <w:pPr>
              <w:pStyle w:val="TableParagraph"/>
              <w:spacing w:line="213" w:lineRule="exact" w:before="2"/>
              <w:ind w:left="392" w:right="379"/>
              <w:rPr>
                <w:sz w:val="18"/>
              </w:rPr>
            </w:pPr>
            <w:r>
              <w:rPr>
                <w:sz w:val="18"/>
              </w:rPr>
              <w:t>化工泵</w:t>
            </w:r>
          </w:p>
        </w:tc>
        <w:tc>
          <w:tcPr>
            <w:tcW w:w="836" w:type="dxa"/>
          </w:tcPr>
          <w:p>
            <w:pPr>
              <w:pStyle w:val="TableParagraph"/>
              <w:spacing w:before="124"/>
              <w:ind w:left="15"/>
              <w:rPr>
                <w:rFonts w:ascii="Times New Roman"/>
                <w:sz w:val="18"/>
              </w:rPr>
            </w:pPr>
            <w:r>
              <w:rPr>
                <w:rFonts w:ascii="Times New Roman"/>
                <w:sz w:val="18"/>
              </w:rPr>
              <w:t>8</w:t>
            </w:r>
          </w:p>
        </w:tc>
        <w:tc>
          <w:tcPr>
            <w:tcW w:w="1798" w:type="dxa"/>
          </w:tcPr>
          <w:p>
            <w:pPr>
              <w:pStyle w:val="TableParagraph"/>
              <w:spacing w:before="117"/>
              <w:ind w:right="163"/>
              <w:jc w:val="right"/>
              <w:rPr>
                <w:sz w:val="18"/>
              </w:rPr>
            </w:pPr>
            <w:r>
              <w:rPr>
                <w:sz w:val="18"/>
              </w:rPr>
              <w:t>常温、常压、氨水</w:t>
            </w:r>
          </w:p>
        </w:tc>
      </w:tr>
    </w:tbl>
    <w:p>
      <w:pPr>
        <w:tabs>
          <w:tab w:pos="2042" w:val="left" w:leader="none"/>
        </w:tabs>
        <w:spacing w:before="120" w:after="23"/>
        <w:ind w:left="0" w:right="1" w:firstLine="0"/>
        <w:jc w:val="center"/>
        <w:rPr>
          <w:b/>
          <w:sz w:val="28"/>
        </w:rPr>
      </w:pPr>
      <w:r>
        <w:rPr>
          <w:b/>
          <w:sz w:val="28"/>
        </w:rPr>
        <w:t>表</w:t>
      </w:r>
      <w:r>
        <w:rPr>
          <w:b/>
          <w:spacing w:val="-71"/>
          <w:sz w:val="28"/>
        </w:rPr>
        <w:t> </w:t>
      </w:r>
      <w:r>
        <w:rPr>
          <w:b/>
          <w:sz w:val="28"/>
        </w:rPr>
        <w:t>2-4-1（2）</w:t>
        <w:tab/>
        <w:t>3000t/a</w:t>
      </w:r>
      <w:r>
        <w:rPr>
          <w:b/>
          <w:spacing w:val="-73"/>
          <w:sz w:val="28"/>
        </w:rPr>
        <w:t> </w:t>
      </w:r>
      <w:r>
        <w:rPr>
          <w:b/>
          <w:sz w:val="28"/>
        </w:rPr>
        <w:t>乙腈扩建生产主要生产设备一览表</w:t>
      </w:r>
    </w:p>
    <w:tbl>
      <w:tblPr>
        <w:tblW w:w="0" w:type="auto"/>
        <w:jc w:val="left"/>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4"/>
        <w:gridCol w:w="2417"/>
        <w:gridCol w:w="2659"/>
        <w:gridCol w:w="1214"/>
        <w:gridCol w:w="1214"/>
      </w:tblGrid>
      <w:tr>
        <w:trPr>
          <w:trHeight w:val="359" w:hRule="atLeast"/>
        </w:trPr>
        <w:tc>
          <w:tcPr>
            <w:tcW w:w="1114" w:type="dxa"/>
          </w:tcPr>
          <w:p>
            <w:pPr>
              <w:pStyle w:val="TableParagraph"/>
              <w:spacing w:before="64"/>
              <w:ind w:right="156"/>
              <w:jc w:val="right"/>
              <w:rPr>
                <w:b/>
                <w:sz w:val="18"/>
              </w:rPr>
            </w:pPr>
            <w:r>
              <w:rPr>
                <w:b/>
                <w:sz w:val="18"/>
              </w:rPr>
              <w:t>序号</w:t>
            </w:r>
          </w:p>
        </w:tc>
        <w:tc>
          <w:tcPr>
            <w:tcW w:w="2417" w:type="dxa"/>
          </w:tcPr>
          <w:p>
            <w:pPr>
              <w:pStyle w:val="TableParagraph"/>
              <w:spacing w:before="64"/>
              <w:ind w:right="627"/>
              <w:jc w:val="right"/>
              <w:rPr>
                <w:b/>
                <w:sz w:val="18"/>
              </w:rPr>
            </w:pPr>
            <w:r>
              <w:rPr>
                <w:b/>
                <w:w w:val="95"/>
                <w:sz w:val="18"/>
              </w:rPr>
              <w:t>设备名称</w:t>
            </w:r>
          </w:p>
        </w:tc>
        <w:tc>
          <w:tcPr>
            <w:tcW w:w="2659" w:type="dxa"/>
          </w:tcPr>
          <w:p>
            <w:pPr>
              <w:pStyle w:val="TableParagraph"/>
              <w:spacing w:before="64"/>
              <w:ind w:right="722"/>
              <w:jc w:val="right"/>
              <w:rPr>
                <w:b/>
                <w:sz w:val="18"/>
              </w:rPr>
            </w:pPr>
            <w:r>
              <w:rPr>
                <w:b/>
                <w:w w:val="95"/>
                <w:sz w:val="18"/>
              </w:rPr>
              <w:t>规格</w:t>
            </w:r>
            <w:r>
              <w:rPr>
                <w:rFonts w:ascii="Times New Roman" w:eastAsia="Times New Roman"/>
                <w:b/>
                <w:w w:val="95"/>
                <w:sz w:val="18"/>
              </w:rPr>
              <w:t>/</w:t>
            </w:r>
            <w:r>
              <w:rPr>
                <w:b/>
                <w:w w:val="95"/>
                <w:sz w:val="18"/>
              </w:rPr>
              <w:t>型号</w:t>
            </w:r>
          </w:p>
        </w:tc>
        <w:tc>
          <w:tcPr>
            <w:tcW w:w="1214" w:type="dxa"/>
          </w:tcPr>
          <w:p>
            <w:pPr>
              <w:pStyle w:val="TableParagraph"/>
              <w:spacing w:before="64"/>
              <w:ind w:right="206"/>
              <w:jc w:val="right"/>
              <w:rPr>
                <w:b/>
                <w:sz w:val="18"/>
              </w:rPr>
            </w:pPr>
            <w:r>
              <w:rPr>
                <w:b/>
                <w:sz w:val="18"/>
              </w:rPr>
              <w:t>数量</w:t>
            </w:r>
          </w:p>
        </w:tc>
        <w:tc>
          <w:tcPr>
            <w:tcW w:w="1214" w:type="dxa"/>
          </w:tcPr>
          <w:p>
            <w:pPr>
              <w:pStyle w:val="TableParagraph"/>
              <w:spacing w:before="64"/>
              <w:ind w:right="205"/>
              <w:jc w:val="right"/>
              <w:rPr>
                <w:b/>
                <w:sz w:val="18"/>
              </w:rPr>
            </w:pPr>
            <w:r>
              <w:rPr>
                <w:b/>
                <w:sz w:val="18"/>
              </w:rPr>
              <w:t>备注</w:t>
            </w:r>
          </w:p>
        </w:tc>
      </w:tr>
      <w:tr>
        <w:trPr>
          <w:trHeight w:val="285" w:hRule="atLeast"/>
        </w:trPr>
        <w:tc>
          <w:tcPr>
            <w:tcW w:w="1114" w:type="dxa"/>
          </w:tcPr>
          <w:p>
            <w:pPr>
              <w:pStyle w:val="TableParagraph"/>
              <w:spacing w:before="33"/>
              <w:ind w:right="292"/>
              <w:jc w:val="right"/>
              <w:rPr>
                <w:rFonts w:ascii="Times New Roman"/>
                <w:sz w:val="18"/>
              </w:rPr>
            </w:pPr>
            <w:r>
              <w:rPr>
                <w:rFonts w:ascii="Times New Roman"/>
                <w:sz w:val="18"/>
              </w:rPr>
              <w:t>1</w:t>
            </w:r>
          </w:p>
        </w:tc>
        <w:tc>
          <w:tcPr>
            <w:tcW w:w="2417" w:type="dxa"/>
          </w:tcPr>
          <w:p>
            <w:pPr>
              <w:pStyle w:val="TableParagraph"/>
              <w:spacing w:before="26"/>
              <w:ind w:right="504"/>
              <w:jc w:val="right"/>
              <w:rPr>
                <w:sz w:val="18"/>
              </w:rPr>
            </w:pPr>
            <w:r>
              <w:rPr>
                <w:rFonts w:ascii="Times New Roman" w:eastAsia="Times New Roman"/>
                <w:sz w:val="18"/>
              </w:rPr>
              <w:t>T101 </w:t>
            </w:r>
            <w:r>
              <w:rPr>
                <w:sz w:val="18"/>
              </w:rPr>
              <w:t>精馏塔</w:t>
            </w:r>
          </w:p>
        </w:tc>
        <w:tc>
          <w:tcPr>
            <w:tcW w:w="2659" w:type="dxa"/>
          </w:tcPr>
          <w:p>
            <w:pPr>
              <w:pStyle w:val="TableParagraph"/>
              <w:spacing w:before="33"/>
              <w:ind w:right="704"/>
              <w:jc w:val="right"/>
              <w:rPr>
                <w:rFonts w:ascii="Times New Roman"/>
                <w:sz w:val="18"/>
              </w:rPr>
            </w:pPr>
            <w:r>
              <w:rPr>
                <w:rFonts w:ascii="Times New Roman"/>
                <w:sz w:val="18"/>
              </w:rPr>
              <w:t>31000*600</w:t>
            </w:r>
          </w:p>
        </w:tc>
        <w:tc>
          <w:tcPr>
            <w:tcW w:w="1214" w:type="dxa"/>
          </w:tcPr>
          <w:p>
            <w:pPr>
              <w:pStyle w:val="TableParagraph"/>
              <w:spacing w:before="33"/>
              <w:ind w:right="342"/>
              <w:jc w:val="right"/>
              <w:rPr>
                <w:rFonts w:ascii="Times New Roman"/>
                <w:sz w:val="18"/>
              </w:rPr>
            </w:pPr>
            <w:r>
              <w:rPr>
                <w:rFonts w:ascii="Times New Roman"/>
                <w:sz w:val="18"/>
              </w:rPr>
              <w:t>1</w:t>
            </w:r>
          </w:p>
        </w:tc>
        <w:tc>
          <w:tcPr>
            <w:tcW w:w="1214" w:type="dxa"/>
          </w:tcPr>
          <w:p>
            <w:pPr>
              <w:pStyle w:val="TableParagraph"/>
              <w:spacing w:before="26"/>
              <w:ind w:right="206"/>
              <w:jc w:val="right"/>
              <w:rPr>
                <w:sz w:val="18"/>
              </w:rPr>
            </w:pPr>
            <w:r>
              <w:rPr>
                <w:sz w:val="18"/>
              </w:rPr>
              <w:t>建成</w:t>
            </w:r>
          </w:p>
        </w:tc>
      </w:tr>
    </w:tbl>
    <w:p>
      <w:pPr>
        <w:spacing w:after="0"/>
        <w:jc w:val="right"/>
        <w:rPr>
          <w:sz w:val="18"/>
        </w:rPr>
        <w:sectPr>
          <w:pgSz w:w="11910" w:h="16840"/>
          <w:pgMar w:header="0" w:footer="984" w:top="1580" w:bottom="1180" w:left="1280" w:right="1280"/>
        </w:sectPr>
      </w:pPr>
    </w:p>
    <w:p>
      <w:pPr>
        <w:pStyle w:val="BodyText"/>
        <w:spacing w:before="1"/>
        <w:rPr>
          <w:b/>
          <w:sz w:val="8"/>
        </w:rPr>
      </w:pPr>
    </w:p>
    <w:tbl>
      <w:tblPr>
        <w:tblW w:w="0" w:type="auto"/>
        <w:jc w:val="left"/>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4"/>
        <w:gridCol w:w="2417"/>
        <w:gridCol w:w="2659"/>
        <w:gridCol w:w="1214"/>
        <w:gridCol w:w="1214"/>
      </w:tblGrid>
      <w:tr>
        <w:trPr>
          <w:trHeight w:val="285" w:hRule="atLeast"/>
        </w:trPr>
        <w:tc>
          <w:tcPr>
            <w:tcW w:w="1114" w:type="dxa"/>
          </w:tcPr>
          <w:p>
            <w:pPr>
              <w:pStyle w:val="TableParagraph"/>
              <w:spacing w:before="33"/>
              <w:ind w:right="292"/>
              <w:jc w:val="right"/>
              <w:rPr>
                <w:rFonts w:ascii="Times New Roman"/>
                <w:sz w:val="18"/>
              </w:rPr>
            </w:pPr>
            <w:r>
              <w:rPr>
                <w:rFonts w:ascii="Times New Roman"/>
                <w:sz w:val="18"/>
              </w:rPr>
              <w:t>2</w:t>
            </w:r>
          </w:p>
        </w:tc>
        <w:tc>
          <w:tcPr>
            <w:tcW w:w="2417" w:type="dxa"/>
          </w:tcPr>
          <w:p>
            <w:pPr>
              <w:pStyle w:val="TableParagraph"/>
              <w:spacing w:before="26"/>
              <w:ind w:left="935"/>
              <w:jc w:val="left"/>
              <w:rPr>
                <w:sz w:val="18"/>
              </w:rPr>
            </w:pPr>
            <w:r>
              <w:rPr>
                <w:rFonts w:ascii="Times New Roman" w:eastAsia="Times New Roman"/>
                <w:sz w:val="18"/>
              </w:rPr>
              <w:t>T102 </w:t>
            </w:r>
            <w:r>
              <w:rPr>
                <w:sz w:val="18"/>
              </w:rPr>
              <w:t>精馏塔</w:t>
            </w:r>
          </w:p>
        </w:tc>
        <w:tc>
          <w:tcPr>
            <w:tcW w:w="2659" w:type="dxa"/>
          </w:tcPr>
          <w:p>
            <w:pPr>
              <w:pStyle w:val="TableParagraph"/>
              <w:spacing w:before="33"/>
              <w:ind w:left="796" w:right="371"/>
              <w:rPr>
                <w:rFonts w:ascii="Times New Roman"/>
                <w:sz w:val="18"/>
              </w:rPr>
            </w:pPr>
            <w:r>
              <w:rPr>
                <w:rFonts w:ascii="Times New Roman"/>
                <w:sz w:val="18"/>
              </w:rPr>
              <w:t>31000*500</w:t>
            </w:r>
          </w:p>
        </w:tc>
        <w:tc>
          <w:tcPr>
            <w:tcW w:w="1214" w:type="dxa"/>
          </w:tcPr>
          <w:p>
            <w:pPr>
              <w:pStyle w:val="TableParagraph"/>
              <w:spacing w:before="33"/>
              <w:ind w:right="342"/>
              <w:jc w:val="right"/>
              <w:rPr>
                <w:rFonts w:ascii="Times New Roman"/>
                <w:sz w:val="18"/>
              </w:rPr>
            </w:pPr>
            <w:r>
              <w:rPr>
                <w:rFonts w:ascii="Times New Roman"/>
                <w:sz w:val="18"/>
              </w:rPr>
              <w:t>1</w:t>
            </w:r>
          </w:p>
        </w:tc>
        <w:tc>
          <w:tcPr>
            <w:tcW w:w="1214" w:type="dxa"/>
          </w:tcPr>
          <w:p>
            <w:pPr>
              <w:pStyle w:val="TableParagraph"/>
              <w:spacing w:before="26"/>
              <w:ind w:right="206"/>
              <w:jc w:val="right"/>
              <w:rPr>
                <w:sz w:val="18"/>
              </w:rPr>
            </w:pPr>
            <w:r>
              <w:rPr>
                <w:sz w:val="18"/>
              </w:rPr>
              <w:t>建成</w:t>
            </w:r>
          </w:p>
        </w:tc>
      </w:tr>
      <w:tr>
        <w:trPr>
          <w:trHeight w:val="285" w:hRule="atLeast"/>
        </w:trPr>
        <w:tc>
          <w:tcPr>
            <w:tcW w:w="1114" w:type="dxa"/>
          </w:tcPr>
          <w:p>
            <w:pPr>
              <w:pStyle w:val="TableParagraph"/>
              <w:spacing w:before="33"/>
              <w:ind w:right="292"/>
              <w:jc w:val="right"/>
              <w:rPr>
                <w:rFonts w:ascii="Times New Roman"/>
                <w:sz w:val="18"/>
              </w:rPr>
            </w:pPr>
            <w:r>
              <w:rPr>
                <w:rFonts w:ascii="Times New Roman"/>
                <w:sz w:val="18"/>
              </w:rPr>
              <w:t>3</w:t>
            </w:r>
          </w:p>
        </w:tc>
        <w:tc>
          <w:tcPr>
            <w:tcW w:w="2417" w:type="dxa"/>
          </w:tcPr>
          <w:p>
            <w:pPr>
              <w:pStyle w:val="TableParagraph"/>
              <w:spacing w:before="26"/>
              <w:ind w:left="1146"/>
              <w:jc w:val="left"/>
              <w:rPr>
                <w:sz w:val="18"/>
              </w:rPr>
            </w:pPr>
            <w:r>
              <w:rPr>
                <w:sz w:val="18"/>
              </w:rPr>
              <w:t>冷凝器</w:t>
            </w:r>
          </w:p>
        </w:tc>
        <w:tc>
          <w:tcPr>
            <w:tcW w:w="2659" w:type="dxa"/>
          </w:tcPr>
          <w:p>
            <w:pPr>
              <w:pStyle w:val="TableParagraph"/>
              <w:spacing w:before="33"/>
              <w:ind w:left="797" w:right="371"/>
              <w:rPr>
                <w:rFonts w:ascii="Times New Roman"/>
                <w:sz w:val="18"/>
              </w:rPr>
            </w:pPr>
            <w:r>
              <w:rPr>
                <w:rFonts w:ascii="Times New Roman"/>
                <w:sz w:val="18"/>
              </w:rPr>
              <w:t>60M</w:t>
            </w:r>
            <w:r>
              <w:rPr>
                <w:rFonts w:ascii="Times New Roman"/>
                <w:sz w:val="18"/>
                <w:vertAlign w:val="superscript"/>
              </w:rPr>
              <w:t>2</w:t>
            </w:r>
          </w:p>
        </w:tc>
        <w:tc>
          <w:tcPr>
            <w:tcW w:w="1214" w:type="dxa"/>
          </w:tcPr>
          <w:p>
            <w:pPr>
              <w:pStyle w:val="TableParagraph"/>
              <w:spacing w:before="33"/>
              <w:ind w:right="296"/>
              <w:jc w:val="right"/>
              <w:rPr>
                <w:rFonts w:ascii="Times New Roman"/>
                <w:sz w:val="18"/>
              </w:rPr>
            </w:pPr>
            <w:r>
              <w:rPr>
                <w:rFonts w:ascii="Times New Roman"/>
                <w:sz w:val="18"/>
              </w:rPr>
              <w:t>15</w:t>
            </w:r>
          </w:p>
        </w:tc>
        <w:tc>
          <w:tcPr>
            <w:tcW w:w="1214" w:type="dxa"/>
          </w:tcPr>
          <w:p>
            <w:pPr>
              <w:pStyle w:val="TableParagraph"/>
              <w:spacing w:before="26"/>
              <w:ind w:right="206"/>
              <w:jc w:val="right"/>
              <w:rPr>
                <w:sz w:val="18"/>
              </w:rPr>
            </w:pPr>
            <w:r>
              <w:rPr>
                <w:sz w:val="18"/>
              </w:rPr>
              <w:t>建成</w:t>
            </w:r>
          </w:p>
        </w:tc>
      </w:tr>
      <w:tr>
        <w:trPr>
          <w:trHeight w:val="328" w:hRule="atLeast"/>
        </w:trPr>
        <w:tc>
          <w:tcPr>
            <w:tcW w:w="1114" w:type="dxa"/>
          </w:tcPr>
          <w:p>
            <w:pPr>
              <w:pStyle w:val="TableParagraph"/>
              <w:spacing w:before="57"/>
              <w:ind w:right="292"/>
              <w:jc w:val="right"/>
              <w:rPr>
                <w:rFonts w:ascii="Times New Roman"/>
                <w:sz w:val="18"/>
              </w:rPr>
            </w:pPr>
            <w:r>
              <w:rPr>
                <w:rFonts w:ascii="Times New Roman"/>
                <w:sz w:val="18"/>
              </w:rPr>
              <w:t>4</w:t>
            </w:r>
          </w:p>
        </w:tc>
        <w:tc>
          <w:tcPr>
            <w:tcW w:w="2417" w:type="dxa"/>
          </w:tcPr>
          <w:p>
            <w:pPr>
              <w:pStyle w:val="TableParagraph"/>
              <w:spacing w:before="48"/>
              <w:ind w:left="1146"/>
              <w:jc w:val="left"/>
              <w:rPr>
                <w:sz w:val="18"/>
              </w:rPr>
            </w:pPr>
            <w:r>
              <w:rPr>
                <w:sz w:val="18"/>
              </w:rPr>
              <w:t>中间槽</w:t>
            </w:r>
          </w:p>
        </w:tc>
        <w:tc>
          <w:tcPr>
            <w:tcW w:w="2659" w:type="dxa"/>
          </w:tcPr>
          <w:p>
            <w:pPr>
              <w:pStyle w:val="TableParagraph"/>
              <w:spacing w:before="57"/>
              <w:ind w:left="797" w:right="371"/>
              <w:rPr>
                <w:rFonts w:ascii="Times New Roman"/>
                <w:sz w:val="18"/>
              </w:rPr>
            </w:pPr>
            <w:r>
              <w:rPr>
                <w:rFonts w:ascii="Times New Roman"/>
                <w:sz w:val="18"/>
              </w:rPr>
              <w:t>60m</w:t>
            </w:r>
            <w:r>
              <w:rPr>
                <w:rFonts w:ascii="Times New Roman"/>
                <w:sz w:val="18"/>
                <w:vertAlign w:val="superscript"/>
              </w:rPr>
              <w:t>3</w:t>
            </w:r>
          </w:p>
        </w:tc>
        <w:tc>
          <w:tcPr>
            <w:tcW w:w="1214" w:type="dxa"/>
          </w:tcPr>
          <w:p>
            <w:pPr>
              <w:pStyle w:val="TableParagraph"/>
              <w:spacing w:before="57"/>
              <w:ind w:right="342"/>
              <w:jc w:val="right"/>
              <w:rPr>
                <w:rFonts w:ascii="Times New Roman"/>
                <w:sz w:val="18"/>
              </w:rPr>
            </w:pPr>
            <w:r>
              <w:rPr>
                <w:rFonts w:ascii="Times New Roman"/>
                <w:sz w:val="18"/>
              </w:rPr>
              <w:t>5</w:t>
            </w:r>
          </w:p>
        </w:tc>
        <w:tc>
          <w:tcPr>
            <w:tcW w:w="1214" w:type="dxa"/>
          </w:tcPr>
          <w:p>
            <w:pPr>
              <w:pStyle w:val="TableParagraph"/>
              <w:spacing w:before="48"/>
              <w:ind w:right="206"/>
              <w:jc w:val="right"/>
              <w:rPr>
                <w:sz w:val="18"/>
              </w:rPr>
            </w:pPr>
            <w:r>
              <w:rPr>
                <w:sz w:val="18"/>
              </w:rPr>
              <w:t>建成</w:t>
            </w:r>
          </w:p>
        </w:tc>
      </w:tr>
      <w:tr>
        <w:trPr>
          <w:trHeight w:val="285" w:hRule="atLeast"/>
        </w:trPr>
        <w:tc>
          <w:tcPr>
            <w:tcW w:w="1114" w:type="dxa"/>
          </w:tcPr>
          <w:p>
            <w:pPr>
              <w:pStyle w:val="TableParagraph"/>
              <w:spacing w:before="33"/>
              <w:ind w:right="292"/>
              <w:jc w:val="right"/>
              <w:rPr>
                <w:rFonts w:ascii="Times New Roman"/>
                <w:sz w:val="18"/>
              </w:rPr>
            </w:pPr>
            <w:r>
              <w:rPr>
                <w:rFonts w:ascii="Times New Roman"/>
                <w:sz w:val="18"/>
              </w:rPr>
              <w:t>5</w:t>
            </w:r>
          </w:p>
        </w:tc>
        <w:tc>
          <w:tcPr>
            <w:tcW w:w="2417" w:type="dxa"/>
          </w:tcPr>
          <w:p>
            <w:pPr>
              <w:pStyle w:val="TableParagraph"/>
              <w:spacing w:before="26"/>
              <w:ind w:left="1146"/>
              <w:jc w:val="left"/>
              <w:rPr>
                <w:sz w:val="18"/>
              </w:rPr>
            </w:pPr>
            <w:r>
              <w:rPr>
                <w:sz w:val="18"/>
              </w:rPr>
              <w:t>放液槽</w:t>
            </w:r>
          </w:p>
        </w:tc>
        <w:tc>
          <w:tcPr>
            <w:tcW w:w="2659" w:type="dxa"/>
          </w:tcPr>
          <w:p>
            <w:pPr>
              <w:pStyle w:val="TableParagraph"/>
              <w:spacing w:before="33"/>
              <w:ind w:left="797" w:right="371"/>
              <w:rPr>
                <w:rFonts w:ascii="Times New Roman"/>
                <w:sz w:val="18"/>
              </w:rPr>
            </w:pPr>
            <w:r>
              <w:rPr>
                <w:rFonts w:ascii="Times New Roman"/>
                <w:sz w:val="18"/>
              </w:rPr>
              <w:t>20m</w:t>
            </w:r>
            <w:r>
              <w:rPr>
                <w:rFonts w:ascii="Times New Roman"/>
                <w:sz w:val="18"/>
                <w:vertAlign w:val="superscript"/>
              </w:rPr>
              <w:t>3</w:t>
            </w:r>
          </w:p>
        </w:tc>
        <w:tc>
          <w:tcPr>
            <w:tcW w:w="1214" w:type="dxa"/>
          </w:tcPr>
          <w:p>
            <w:pPr>
              <w:pStyle w:val="TableParagraph"/>
              <w:spacing w:before="33"/>
              <w:ind w:right="342"/>
              <w:jc w:val="right"/>
              <w:rPr>
                <w:rFonts w:ascii="Times New Roman"/>
                <w:sz w:val="18"/>
              </w:rPr>
            </w:pPr>
            <w:r>
              <w:rPr>
                <w:rFonts w:ascii="Times New Roman"/>
                <w:sz w:val="18"/>
              </w:rPr>
              <w:t>3</w:t>
            </w:r>
          </w:p>
        </w:tc>
        <w:tc>
          <w:tcPr>
            <w:tcW w:w="1214" w:type="dxa"/>
          </w:tcPr>
          <w:p>
            <w:pPr>
              <w:pStyle w:val="TableParagraph"/>
              <w:spacing w:before="26"/>
              <w:ind w:right="206"/>
              <w:jc w:val="right"/>
              <w:rPr>
                <w:sz w:val="18"/>
              </w:rPr>
            </w:pPr>
            <w:r>
              <w:rPr>
                <w:sz w:val="18"/>
              </w:rPr>
              <w:t>建成</w:t>
            </w:r>
          </w:p>
        </w:tc>
      </w:tr>
      <w:tr>
        <w:trPr>
          <w:trHeight w:val="285" w:hRule="atLeast"/>
        </w:trPr>
        <w:tc>
          <w:tcPr>
            <w:tcW w:w="1114" w:type="dxa"/>
          </w:tcPr>
          <w:p>
            <w:pPr>
              <w:pStyle w:val="TableParagraph"/>
              <w:spacing w:before="33"/>
              <w:ind w:right="292"/>
              <w:jc w:val="right"/>
              <w:rPr>
                <w:rFonts w:ascii="Times New Roman"/>
                <w:sz w:val="18"/>
              </w:rPr>
            </w:pPr>
            <w:r>
              <w:rPr>
                <w:rFonts w:ascii="Times New Roman"/>
                <w:sz w:val="18"/>
              </w:rPr>
              <w:t>6</w:t>
            </w:r>
          </w:p>
        </w:tc>
        <w:tc>
          <w:tcPr>
            <w:tcW w:w="2417" w:type="dxa"/>
          </w:tcPr>
          <w:p>
            <w:pPr>
              <w:pStyle w:val="TableParagraph"/>
              <w:spacing w:before="26"/>
              <w:ind w:left="966"/>
              <w:jc w:val="left"/>
              <w:rPr>
                <w:sz w:val="18"/>
              </w:rPr>
            </w:pPr>
            <w:r>
              <w:rPr>
                <w:sz w:val="18"/>
              </w:rPr>
              <w:t>中间馏分槽</w:t>
            </w:r>
          </w:p>
        </w:tc>
        <w:tc>
          <w:tcPr>
            <w:tcW w:w="2659" w:type="dxa"/>
          </w:tcPr>
          <w:p>
            <w:pPr>
              <w:pStyle w:val="TableParagraph"/>
              <w:spacing w:before="33"/>
              <w:ind w:left="797" w:right="371"/>
              <w:rPr>
                <w:rFonts w:ascii="Times New Roman"/>
                <w:sz w:val="18"/>
              </w:rPr>
            </w:pPr>
            <w:r>
              <w:rPr>
                <w:rFonts w:ascii="Times New Roman"/>
                <w:sz w:val="18"/>
              </w:rPr>
              <w:t>18m</w:t>
            </w:r>
            <w:r>
              <w:rPr>
                <w:rFonts w:ascii="Times New Roman"/>
                <w:sz w:val="18"/>
                <w:vertAlign w:val="superscript"/>
              </w:rPr>
              <w:t>3</w:t>
            </w:r>
          </w:p>
        </w:tc>
        <w:tc>
          <w:tcPr>
            <w:tcW w:w="1214" w:type="dxa"/>
          </w:tcPr>
          <w:p>
            <w:pPr>
              <w:pStyle w:val="TableParagraph"/>
              <w:spacing w:before="33"/>
              <w:ind w:right="342"/>
              <w:jc w:val="right"/>
              <w:rPr>
                <w:rFonts w:ascii="Times New Roman"/>
                <w:sz w:val="18"/>
              </w:rPr>
            </w:pPr>
            <w:r>
              <w:rPr>
                <w:rFonts w:ascii="Times New Roman"/>
                <w:sz w:val="18"/>
              </w:rPr>
              <w:t>3</w:t>
            </w:r>
          </w:p>
        </w:tc>
        <w:tc>
          <w:tcPr>
            <w:tcW w:w="1214" w:type="dxa"/>
          </w:tcPr>
          <w:p>
            <w:pPr>
              <w:pStyle w:val="TableParagraph"/>
              <w:spacing w:before="26"/>
              <w:ind w:right="206"/>
              <w:jc w:val="right"/>
              <w:rPr>
                <w:sz w:val="18"/>
              </w:rPr>
            </w:pPr>
            <w:r>
              <w:rPr>
                <w:sz w:val="18"/>
              </w:rPr>
              <w:t>建成</w:t>
            </w:r>
          </w:p>
        </w:tc>
      </w:tr>
      <w:tr>
        <w:trPr>
          <w:trHeight w:val="330" w:hRule="atLeast"/>
        </w:trPr>
        <w:tc>
          <w:tcPr>
            <w:tcW w:w="1114" w:type="dxa"/>
          </w:tcPr>
          <w:p>
            <w:pPr>
              <w:pStyle w:val="TableParagraph"/>
              <w:spacing w:before="57"/>
              <w:ind w:right="292"/>
              <w:jc w:val="right"/>
              <w:rPr>
                <w:rFonts w:ascii="Times New Roman"/>
                <w:sz w:val="18"/>
              </w:rPr>
            </w:pPr>
            <w:r>
              <w:rPr>
                <w:rFonts w:ascii="Times New Roman"/>
                <w:sz w:val="18"/>
              </w:rPr>
              <w:t>7</w:t>
            </w:r>
          </w:p>
        </w:tc>
        <w:tc>
          <w:tcPr>
            <w:tcW w:w="2417" w:type="dxa"/>
          </w:tcPr>
          <w:p>
            <w:pPr>
              <w:pStyle w:val="TableParagraph"/>
              <w:spacing w:before="48"/>
              <w:ind w:left="1146"/>
              <w:jc w:val="left"/>
              <w:rPr>
                <w:sz w:val="18"/>
              </w:rPr>
            </w:pPr>
            <w:r>
              <w:rPr>
                <w:sz w:val="18"/>
              </w:rPr>
              <w:t>分汽包</w:t>
            </w:r>
          </w:p>
        </w:tc>
        <w:tc>
          <w:tcPr>
            <w:tcW w:w="2659" w:type="dxa"/>
          </w:tcPr>
          <w:p>
            <w:pPr>
              <w:pStyle w:val="TableParagraph"/>
              <w:spacing w:before="57"/>
              <w:ind w:left="797" w:right="367"/>
              <w:rPr>
                <w:rFonts w:ascii="Times New Roman"/>
                <w:sz w:val="18"/>
              </w:rPr>
            </w:pPr>
            <w:r>
              <w:rPr>
                <w:rFonts w:ascii="Times New Roman"/>
                <w:sz w:val="18"/>
              </w:rPr>
              <w:t>18L</w:t>
            </w:r>
          </w:p>
        </w:tc>
        <w:tc>
          <w:tcPr>
            <w:tcW w:w="1214" w:type="dxa"/>
          </w:tcPr>
          <w:p>
            <w:pPr>
              <w:pStyle w:val="TableParagraph"/>
              <w:spacing w:before="57"/>
              <w:ind w:right="342"/>
              <w:jc w:val="right"/>
              <w:rPr>
                <w:rFonts w:ascii="Times New Roman"/>
                <w:sz w:val="18"/>
              </w:rPr>
            </w:pPr>
            <w:r>
              <w:rPr>
                <w:rFonts w:ascii="Times New Roman"/>
                <w:sz w:val="18"/>
              </w:rPr>
              <w:t>1</w:t>
            </w:r>
          </w:p>
        </w:tc>
        <w:tc>
          <w:tcPr>
            <w:tcW w:w="1214" w:type="dxa"/>
          </w:tcPr>
          <w:p>
            <w:pPr>
              <w:pStyle w:val="TableParagraph"/>
              <w:spacing w:before="48"/>
              <w:ind w:right="206"/>
              <w:jc w:val="right"/>
              <w:rPr>
                <w:sz w:val="18"/>
              </w:rPr>
            </w:pPr>
            <w:r>
              <w:rPr>
                <w:sz w:val="18"/>
              </w:rPr>
              <w:t>建成</w:t>
            </w:r>
          </w:p>
        </w:tc>
      </w:tr>
      <w:tr>
        <w:trPr>
          <w:trHeight w:val="328" w:hRule="atLeast"/>
        </w:trPr>
        <w:tc>
          <w:tcPr>
            <w:tcW w:w="1114" w:type="dxa"/>
          </w:tcPr>
          <w:p>
            <w:pPr>
              <w:pStyle w:val="TableParagraph"/>
              <w:spacing w:before="57"/>
              <w:ind w:right="292"/>
              <w:jc w:val="right"/>
              <w:rPr>
                <w:rFonts w:ascii="Times New Roman"/>
                <w:sz w:val="18"/>
              </w:rPr>
            </w:pPr>
            <w:r>
              <w:rPr>
                <w:rFonts w:ascii="Times New Roman"/>
                <w:sz w:val="18"/>
              </w:rPr>
              <w:t>8</w:t>
            </w:r>
          </w:p>
        </w:tc>
        <w:tc>
          <w:tcPr>
            <w:tcW w:w="2417" w:type="dxa"/>
          </w:tcPr>
          <w:p>
            <w:pPr>
              <w:pStyle w:val="TableParagraph"/>
              <w:spacing w:before="47"/>
              <w:ind w:right="423"/>
              <w:jc w:val="right"/>
              <w:rPr>
                <w:sz w:val="18"/>
              </w:rPr>
            </w:pPr>
            <w:r>
              <w:rPr>
                <w:sz w:val="18"/>
              </w:rPr>
              <w:t>产品</w:t>
            </w:r>
            <w:r>
              <w:rPr>
                <w:rFonts w:ascii="Times New Roman" w:eastAsia="Times New Roman"/>
                <w:sz w:val="18"/>
              </w:rPr>
              <w:t>/</w:t>
            </w:r>
            <w:r>
              <w:rPr>
                <w:sz w:val="18"/>
              </w:rPr>
              <w:t>原料储槽</w:t>
            </w:r>
          </w:p>
        </w:tc>
        <w:tc>
          <w:tcPr>
            <w:tcW w:w="2659" w:type="dxa"/>
          </w:tcPr>
          <w:p>
            <w:pPr>
              <w:pStyle w:val="TableParagraph"/>
              <w:spacing w:before="57"/>
              <w:ind w:left="797" w:right="369"/>
              <w:rPr>
                <w:rFonts w:ascii="Times New Roman"/>
                <w:sz w:val="18"/>
              </w:rPr>
            </w:pPr>
            <w:r>
              <w:rPr>
                <w:rFonts w:ascii="Times New Roman"/>
                <w:sz w:val="18"/>
              </w:rPr>
              <w:t>100M</w:t>
            </w:r>
            <w:r>
              <w:rPr>
                <w:rFonts w:ascii="Times New Roman"/>
                <w:sz w:val="18"/>
                <w:vertAlign w:val="superscript"/>
              </w:rPr>
              <w:t>3</w:t>
            </w:r>
          </w:p>
        </w:tc>
        <w:tc>
          <w:tcPr>
            <w:tcW w:w="1214" w:type="dxa"/>
          </w:tcPr>
          <w:p>
            <w:pPr>
              <w:pStyle w:val="TableParagraph"/>
              <w:spacing w:before="57"/>
              <w:ind w:right="342"/>
              <w:jc w:val="right"/>
              <w:rPr>
                <w:rFonts w:ascii="Times New Roman"/>
                <w:sz w:val="18"/>
              </w:rPr>
            </w:pPr>
            <w:r>
              <w:rPr>
                <w:rFonts w:ascii="Times New Roman"/>
                <w:sz w:val="18"/>
              </w:rPr>
              <w:t>2</w:t>
            </w:r>
          </w:p>
        </w:tc>
        <w:tc>
          <w:tcPr>
            <w:tcW w:w="1214" w:type="dxa"/>
          </w:tcPr>
          <w:p>
            <w:pPr>
              <w:pStyle w:val="TableParagraph"/>
              <w:spacing w:before="47"/>
              <w:ind w:right="206"/>
              <w:jc w:val="right"/>
              <w:rPr>
                <w:sz w:val="18"/>
              </w:rPr>
            </w:pPr>
            <w:r>
              <w:rPr>
                <w:sz w:val="18"/>
              </w:rPr>
              <w:t>建成</w:t>
            </w:r>
          </w:p>
        </w:tc>
      </w:tr>
      <w:tr>
        <w:trPr>
          <w:trHeight w:val="330" w:hRule="atLeast"/>
        </w:trPr>
        <w:tc>
          <w:tcPr>
            <w:tcW w:w="1114" w:type="dxa"/>
          </w:tcPr>
          <w:p>
            <w:pPr>
              <w:pStyle w:val="TableParagraph"/>
              <w:spacing w:before="57"/>
              <w:ind w:right="292"/>
              <w:jc w:val="right"/>
              <w:rPr>
                <w:rFonts w:ascii="Times New Roman"/>
                <w:sz w:val="18"/>
              </w:rPr>
            </w:pPr>
            <w:r>
              <w:rPr>
                <w:rFonts w:ascii="Times New Roman"/>
                <w:sz w:val="18"/>
              </w:rPr>
              <w:t>9</w:t>
            </w:r>
          </w:p>
        </w:tc>
        <w:tc>
          <w:tcPr>
            <w:tcW w:w="2417" w:type="dxa"/>
          </w:tcPr>
          <w:p>
            <w:pPr>
              <w:pStyle w:val="TableParagraph"/>
              <w:spacing w:before="47"/>
              <w:ind w:left="1146"/>
              <w:jc w:val="left"/>
              <w:rPr>
                <w:sz w:val="18"/>
              </w:rPr>
            </w:pPr>
            <w:r>
              <w:rPr>
                <w:sz w:val="18"/>
              </w:rPr>
              <w:t>离心泵</w:t>
            </w:r>
          </w:p>
        </w:tc>
        <w:tc>
          <w:tcPr>
            <w:tcW w:w="2659" w:type="dxa"/>
          </w:tcPr>
          <w:p>
            <w:pPr>
              <w:pStyle w:val="TableParagraph"/>
              <w:spacing w:before="57"/>
              <w:ind w:left="797" w:right="370"/>
              <w:rPr>
                <w:rFonts w:ascii="Times New Roman"/>
                <w:sz w:val="18"/>
              </w:rPr>
            </w:pPr>
            <w:r>
              <w:rPr>
                <w:rFonts w:ascii="Times New Roman"/>
                <w:sz w:val="18"/>
              </w:rPr>
              <w:t>IH65-50-160</w:t>
            </w:r>
          </w:p>
        </w:tc>
        <w:tc>
          <w:tcPr>
            <w:tcW w:w="1214" w:type="dxa"/>
          </w:tcPr>
          <w:p>
            <w:pPr>
              <w:pStyle w:val="TableParagraph"/>
              <w:spacing w:before="57"/>
              <w:ind w:right="342"/>
              <w:jc w:val="right"/>
              <w:rPr>
                <w:rFonts w:ascii="Times New Roman"/>
                <w:sz w:val="18"/>
              </w:rPr>
            </w:pPr>
            <w:r>
              <w:rPr>
                <w:rFonts w:ascii="Times New Roman"/>
                <w:sz w:val="18"/>
              </w:rPr>
              <w:t>4</w:t>
            </w:r>
          </w:p>
        </w:tc>
        <w:tc>
          <w:tcPr>
            <w:tcW w:w="1214" w:type="dxa"/>
          </w:tcPr>
          <w:p>
            <w:pPr>
              <w:pStyle w:val="TableParagraph"/>
              <w:spacing w:before="47"/>
              <w:ind w:right="206"/>
              <w:jc w:val="right"/>
              <w:rPr>
                <w:sz w:val="18"/>
              </w:rPr>
            </w:pPr>
            <w:r>
              <w:rPr>
                <w:sz w:val="18"/>
              </w:rPr>
              <w:t>建成</w:t>
            </w:r>
          </w:p>
        </w:tc>
      </w:tr>
      <w:tr>
        <w:trPr>
          <w:trHeight w:val="285" w:hRule="atLeast"/>
        </w:trPr>
        <w:tc>
          <w:tcPr>
            <w:tcW w:w="1114" w:type="dxa"/>
          </w:tcPr>
          <w:p>
            <w:pPr>
              <w:pStyle w:val="TableParagraph"/>
              <w:spacing w:before="33"/>
              <w:ind w:right="246"/>
              <w:jc w:val="right"/>
              <w:rPr>
                <w:rFonts w:ascii="Times New Roman"/>
                <w:sz w:val="18"/>
              </w:rPr>
            </w:pPr>
            <w:r>
              <w:rPr>
                <w:rFonts w:ascii="Times New Roman"/>
                <w:sz w:val="18"/>
              </w:rPr>
              <w:t>10</w:t>
            </w:r>
          </w:p>
        </w:tc>
        <w:tc>
          <w:tcPr>
            <w:tcW w:w="2417" w:type="dxa"/>
          </w:tcPr>
          <w:p>
            <w:pPr>
              <w:pStyle w:val="TableParagraph"/>
              <w:spacing w:before="26"/>
              <w:ind w:left="1057"/>
              <w:jc w:val="left"/>
              <w:rPr>
                <w:sz w:val="18"/>
              </w:rPr>
            </w:pPr>
            <w:r>
              <w:rPr>
                <w:sz w:val="18"/>
              </w:rPr>
              <w:t>循环水泵</w:t>
            </w:r>
          </w:p>
        </w:tc>
        <w:tc>
          <w:tcPr>
            <w:tcW w:w="2659" w:type="dxa"/>
          </w:tcPr>
          <w:p>
            <w:pPr>
              <w:pStyle w:val="TableParagraph"/>
              <w:spacing w:before="26"/>
              <w:ind w:left="795" w:right="371"/>
              <w:rPr>
                <w:sz w:val="18"/>
              </w:rPr>
            </w:pPr>
            <w:r>
              <w:rPr>
                <w:rFonts w:ascii="Times New Roman" w:eastAsia="Times New Roman"/>
                <w:sz w:val="18"/>
              </w:rPr>
              <w:t>300 </w:t>
            </w:r>
            <w:r>
              <w:rPr>
                <w:sz w:val="18"/>
              </w:rPr>
              <w:t>立方</w:t>
            </w:r>
          </w:p>
        </w:tc>
        <w:tc>
          <w:tcPr>
            <w:tcW w:w="1214" w:type="dxa"/>
          </w:tcPr>
          <w:p>
            <w:pPr>
              <w:pStyle w:val="TableParagraph"/>
              <w:spacing w:before="33"/>
              <w:ind w:right="342"/>
              <w:jc w:val="right"/>
              <w:rPr>
                <w:rFonts w:ascii="Times New Roman"/>
                <w:sz w:val="18"/>
              </w:rPr>
            </w:pPr>
            <w:r>
              <w:rPr>
                <w:rFonts w:ascii="Times New Roman"/>
                <w:sz w:val="18"/>
              </w:rPr>
              <w:t>2</w:t>
            </w:r>
          </w:p>
        </w:tc>
        <w:tc>
          <w:tcPr>
            <w:tcW w:w="1214" w:type="dxa"/>
          </w:tcPr>
          <w:p>
            <w:pPr>
              <w:pStyle w:val="TableParagraph"/>
              <w:spacing w:before="26"/>
              <w:ind w:right="206"/>
              <w:jc w:val="right"/>
              <w:rPr>
                <w:sz w:val="18"/>
              </w:rPr>
            </w:pPr>
            <w:r>
              <w:rPr>
                <w:sz w:val="18"/>
              </w:rPr>
              <w:t>建成</w:t>
            </w:r>
          </w:p>
        </w:tc>
      </w:tr>
      <w:tr>
        <w:trPr>
          <w:trHeight w:val="285" w:hRule="atLeast"/>
        </w:trPr>
        <w:tc>
          <w:tcPr>
            <w:tcW w:w="1114" w:type="dxa"/>
          </w:tcPr>
          <w:p>
            <w:pPr>
              <w:pStyle w:val="TableParagraph"/>
              <w:spacing w:before="33"/>
              <w:ind w:right="246"/>
              <w:jc w:val="right"/>
              <w:rPr>
                <w:rFonts w:ascii="Times New Roman"/>
                <w:sz w:val="18"/>
              </w:rPr>
            </w:pPr>
            <w:r>
              <w:rPr>
                <w:rFonts w:ascii="Times New Roman"/>
                <w:sz w:val="18"/>
              </w:rPr>
              <w:t>11</w:t>
            </w:r>
          </w:p>
        </w:tc>
        <w:tc>
          <w:tcPr>
            <w:tcW w:w="2417" w:type="dxa"/>
          </w:tcPr>
          <w:p>
            <w:pPr>
              <w:pStyle w:val="TableParagraph"/>
              <w:spacing w:before="26"/>
              <w:ind w:left="1057"/>
              <w:jc w:val="left"/>
              <w:rPr>
                <w:sz w:val="18"/>
              </w:rPr>
            </w:pPr>
            <w:r>
              <w:rPr>
                <w:sz w:val="18"/>
              </w:rPr>
              <w:t>电气器材</w:t>
            </w:r>
          </w:p>
        </w:tc>
        <w:tc>
          <w:tcPr>
            <w:tcW w:w="2659" w:type="dxa"/>
          </w:tcPr>
          <w:p>
            <w:pPr>
              <w:pStyle w:val="TableParagraph"/>
              <w:jc w:val="left"/>
              <w:rPr>
                <w:rFonts w:ascii="Times New Roman"/>
                <w:sz w:val="20"/>
              </w:rPr>
            </w:pPr>
          </w:p>
        </w:tc>
        <w:tc>
          <w:tcPr>
            <w:tcW w:w="1214" w:type="dxa"/>
          </w:tcPr>
          <w:p>
            <w:pPr>
              <w:pStyle w:val="TableParagraph"/>
              <w:jc w:val="left"/>
              <w:rPr>
                <w:rFonts w:ascii="Times New Roman"/>
                <w:sz w:val="20"/>
              </w:rPr>
            </w:pPr>
          </w:p>
        </w:tc>
        <w:tc>
          <w:tcPr>
            <w:tcW w:w="1214" w:type="dxa"/>
          </w:tcPr>
          <w:p>
            <w:pPr>
              <w:pStyle w:val="TableParagraph"/>
              <w:spacing w:before="26"/>
              <w:ind w:right="206"/>
              <w:jc w:val="right"/>
              <w:rPr>
                <w:sz w:val="18"/>
              </w:rPr>
            </w:pPr>
            <w:r>
              <w:rPr>
                <w:sz w:val="18"/>
              </w:rPr>
              <w:t>建成</w:t>
            </w:r>
          </w:p>
        </w:tc>
      </w:tr>
      <w:tr>
        <w:trPr>
          <w:trHeight w:val="285" w:hRule="atLeast"/>
        </w:trPr>
        <w:tc>
          <w:tcPr>
            <w:tcW w:w="1114" w:type="dxa"/>
          </w:tcPr>
          <w:p>
            <w:pPr>
              <w:pStyle w:val="TableParagraph"/>
              <w:spacing w:before="33"/>
              <w:ind w:right="246"/>
              <w:jc w:val="right"/>
              <w:rPr>
                <w:rFonts w:ascii="Times New Roman"/>
                <w:sz w:val="18"/>
              </w:rPr>
            </w:pPr>
            <w:r>
              <w:rPr>
                <w:rFonts w:ascii="Times New Roman"/>
                <w:sz w:val="18"/>
              </w:rPr>
              <w:t>12</w:t>
            </w:r>
          </w:p>
        </w:tc>
        <w:tc>
          <w:tcPr>
            <w:tcW w:w="2417" w:type="dxa"/>
          </w:tcPr>
          <w:p>
            <w:pPr>
              <w:pStyle w:val="TableParagraph"/>
              <w:spacing w:before="26"/>
              <w:ind w:left="1217" w:right="789"/>
              <w:rPr>
                <w:sz w:val="18"/>
              </w:rPr>
            </w:pPr>
            <w:r>
              <w:rPr>
                <w:sz w:val="18"/>
              </w:rPr>
              <w:t>仪表</w:t>
            </w:r>
          </w:p>
        </w:tc>
        <w:tc>
          <w:tcPr>
            <w:tcW w:w="2659" w:type="dxa"/>
          </w:tcPr>
          <w:p>
            <w:pPr>
              <w:pStyle w:val="TableParagraph"/>
              <w:spacing w:before="26"/>
              <w:ind w:left="797" w:right="371"/>
              <w:rPr>
                <w:sz w:val="18"/>
              </w:rPr>
            </w:pPr>
            <w:r>
              <w:rPr>
                <w:sz w:val="18"/>
              </w:rPr>
              <w:t>变送器，调节阀等</w:t>
            </w:r>
          </w:p>
        </w:tc>
        <w:tc>
          <w:tcPr>
            <w:tcW w:w="1214" w:type="dxa"/>
          </w:tcPr>
          <w:p>
            <w:pPr>
              <w:pStyle w:val="TableParagraph"/>
              <w:spacing w:before="33"/>
              <w:ind w:right="342"/>
              <w:jc w:val="right"/>
              <w:rPr>
                <w:rFonts w:ascii="Times New Roman"/>
                <w:sz w:val="18"/>
              </w:rPr>
            </w:pPr>
            <w:r>
              <w:rPr>
                <w:rFonts w:ascii="Times New Roman"/>
                <w:sz w:val="18"/>
              </w:rPr>
              <w:t>1</w:t>
            </w:r>
          </w:p>
        </w:tc>
        <w:tc>
          <w:tcPr>
            <w:tcW w:w="1214" w:type="dxa"/>
          </w:tcPr>
          <w:p>
            <w:pPr>
              <w:pStyle w:val="TableParagraph"/>
              <w:spacing w:before="26"/>
              <w:ind w:right="206"/>
              <w:jc w:val="right"/>
              <w:rPr>
                <w:sz w:val="18"/>
              </w:rPr>
            </w:pPr>
            <w:r>
              <w:rPr>
                <w:sz w:val="18"/>
              </w:rPr>
              <w:t>建成</w:t>
            </w:r>
          </w:p>
        </w:tc>
      </w:tr>
      <w:tr>
        <w:trPr>
          <w:trHeight w:val="285" w:hRule="atLeast"/>
        </w:trPr>
        <w:tc>
          <w:tcPr>
            <w:tcW w:w="1114" w:type="dxa"/>
          </w:tcPr>
          <w:p>
            <w:pPr>
              <w:pStyle w:val="TableParagraph"/>
              <w:spacing w:before="33"/>
              <w:ind w:right="246"/>
              <w:jc w:val="right"/>
              <w:rPr>
                <w:rFonts w:ascii="Times New Roman"/>
                <w:sz w:val="18"/>
              </w:rPr>
            </w:pPr>
            <w:r>
              <w:rPr>
                <w:rFonts w:ascii="Times New Roman"/>
                <w:sz w:val="18"/>
              </w:rPr>
              <w:t>13</w:t>
            </w:r>
          </w:p>
        </w:tc>
        <w:tc>
          <w:tcPr>
            <w:tcW w:w="2417" w:type="dxa"/>
          </w:tcPr>
          <w:p>
            <w:pPr>
              <w:pStyle w:val="TableParagraph"/>
              <w:spacing w:before="26"/>
              <w:ind w:right="358"/>
              <w:jc w:val="right"/>
              <w:rPr>
                <w:sz w:val="18"/>
              </w:rPr>
            </w:pPr>
            <w:r>
              <w:rPr>
                <w:sz w:val="18"/>
              </w:rPr>
              <w:t>计算机控制系统</w:t>
            </w:r>
          </w:p>
        </w:tc>
        <w:tc>
          <w:tcPr>
            <w:tcW w:w="2659" w:type="dxa"/>
          </w:tcPr>
          <w:p>
            <w:pPr>
              <w:pStyle w:val="TableParagraph"/>
              <w:spacing w:before="26"/>
              <w:ind w:left="796" w:right="371"/>
              <w:rPr>
                <w:rFonts w:ascii="Times New Roman" w:eastAsia="Times New Roman"/>
                <w:sz w:val="18"/>
              </w:rPr>
            </w:pPr>
            <w:r>
              <w:rPr>
                <w:sz w:val="18"/>
              </w:rPr>
              <w:t>西门子 </w:t>
            </w:r>
            <w:r>
              <w:rPr>
                <w:rFonts w:ascii="Times New Roman" w:eastAsia="Times New Roman"/>
                <w:sz w:val="18"/>
              </w:rPr>
              <w:t>DCS PCS7</w:t>
            </w:r>
          </w:p>
        </w:tc>
        <w:tc>
          <w:tcPr>
            <w:tcW w:w="1214" w:type="dxa"/>
          </w:tcPr>
          <w:p>
            <w:pPr>
              <w:pStyle w:val="TableParagraph"/>
              <w:spacing w:before="33"/>
              <w:ind w:right="342"/>
              <w:jc w:val="right"/>
              <w:rPr>
                <w:rFonts w:ascii="Times New Roman"/>
                <w:sz w:val="18"/>
              </w:rPr>
            </w:pPr>
            <w:r>
              <w:rPr>
                <w:rFonts w:ascii="Times New Roman"/>
                <w:sz w:val="18"/>
              </w:rPr>
              <w:t>1</w:t>
            </w:r>
          </w:p>
        </w:tc>
        <w:tc>
          <w:tcPr>
            <w:tcW w:w="1214" w:type="dxa"/>
          </w:tcPr>
          <w:p>
            <w:pPr>
              <w:pStyle w:val="TableParagraph"/>
              <w:spacing w:before="26"/>
              <w:ind w:right="206"/>
              <w:jc w:val="right"/>
              <w:rPr>
                <w:sz w:val="18"/>
              </w:rPr>
            </w:pPr>
            <w:r>
              <w:rPr>
                <w:sz w:val="18"/>
              </w:rPr>
              <w:t>建成</w:t>
            </w:r>
          </w:p>
        </w:tc>
      </w:tr>
      <w:tr>
        <w:trPr>
          <w:trHeight w:val="285" w:hRule="atLeast"/>
        </w:trPr>
        <w:tc>
          <w:tcPr>
            <w:tcW w:w="1114" w:type="dxa"/>
          </w:tcPr>
          <w:p>
            <w:pPr>
              <w:pStyle w:val="TableParagraph"/>
              <w:spacing w:before="33"/>
              <w:ind w:right="246"/>
              <w:jc w:val="right"/>
              <w:rPr>
                <w:rFonts w:ascii="Times New Roman"/>
                <w:sz w:val="18"/>
              </w:rPr>
            </w:pPr>
            <w:r>
              <w:rPr>
                <w:rFonts w:ascii="Times New Roman"/>
                <w:sz w:val="18"/>
              </w:rPr>
              <w:t>14</w:t>
            </w:r>
          </w:p>
        </w:tc>
        <w:tc>
          <w:tcPr>
            <w:tcW w:w="2417" w:type="dxa"/>
          </w:tcPr>
          <w:p>
            <w:pPr>
              <w:pStyle w:val="TableParagraph"/>
              <w:spacing w:before="26"/>
              <w:ind w:left="966"/>
              <w:jc w:val="left"/>
              <w:rPr>
                <w:sz w:val="18"/>
              </w:rPr>
            </w:pPr>
            <w:r>
              <w:rPr>
                <w:sz w:val="18"/>
              </w:rPr>
              <w:t>气相色谱仪</w:t>
            </w:r>
          </w:p>
        </w:tc>
        <w:tc>
          <w:tcPr>
            <w:tcW w:w="2659" w:type="dxa"/>
          </w:tcPr>
          <w:p>
            <w:pPr>
              <w:pStyle w:val="TableParagraph"/>
              <w:jc w:val="left"/>
              <w:rPr>
                <w:rFonts w:ascii="Times New Roman"/>
                <w:sz w:val="20"/>
              </w:rPr>
            </w:pPr>
          </w:p>
        </w:tc>
        <w:tc>
          <w:tcPr>
            <w:tcW w:w="1214" w:type="dxa"/>
          </w:tcPr>
          <w:p>
            <w:pPr>
              <w:pStyle w:val="TableParagraph"/>
              <w:spacing w:before="33"/>
              <w:ind w:right="342"/>
              <w:jc w:val="right"/>
              <w:rPr>
                <w:rFonts w:ascii="Times New Roman"/>
                <w:sz w:val="18"/>
              </w:rPr>
            </w:pPr>
            <w:r>
              <w:rPr>
                <w:rFonts w:ascii="Times New Roman"/>
                <w:sz w:val="18"/>
              </w:rPr>
              <w:t>2</w:t>
            </w:r>
          </w:p>
        </w:tc>
        <w:tc>
          <w:tcPr>
            <w:tcW w:w="1214" w:type="dxa"/>
          </w:tcPr>
          <w:p>
            <w:pPr>
              <w:pStyle w:val="TableParagraph"/>
              <w:spacing w:before="26"/>
              <w:ind w:right="206"/>
              <w:jc w:val="right"/>
              <w:rPr>
                <w:sz w:val="18"/>
              </w:rPr>
            </w:pPr>
            <w:r>
              <w:rPr>
                <w:sz w:val="18"/>
              </w:rPr>
              <w:t>建成</w:t>
            </w:r>
          </w:p>
        </w:tc>
      </w:tr>
    </w:tbl>
    <w:p>
      <w:pPr>
        <w:tabs>
          <w:tab w:pos="2042" w:val="left" w:leader="none"/>
        </w:tabs>
        <w:spacing w:before="121" w:after="19"/>
        <w:ind w:left="0" w:right="1" w:firstLine="0"/>
        <w:jc w:val="center"/>
        <w:rPr>
          <w:b/>
          <w:sz w:val="28"/>
        </w:rPr>
      </w:pPr>
      <w:r>
        <w:rPr>
          <w:b/>
          <w:sz w:val="28"/>
        </w:rPr>
        <w:t>表</w:t>
      </w:r>
      <w:r>
        <w:rPr>
          <w:b/>
          <w:spacing w:val="-72"/>
          <w:sz w:val="28"/>
        </w:rPr>
        <w:t> </w:t>
      </w:r>
      <w:r>
        <w:rPr>
          <w:b/>
          <w:sz w:val="28"/>
        </w:rPr>
        <w:t>2-4-1（3）</w:t>
        <w:tab/>
        <w:t>年产</w:t>
      </w:r>
      <w:r>
        <w:rPr>
          <w:b/>
          <w:spacing w:val="-70"/>
          <w:sz w:val="28"/>
        </w:rPr>
        <w:t> </w:t>
      </w:r>
      <w:r>
        <w:rPr>
          <w:b/>
          <w:sz w:val="28"/>
        </w:rPr>
        <w:t>20000</w:t>
      </w:r>
      <w:r>
        <w:rPr>
          <w:b/>
          <w:spacing w:val="-73"/>
          <w:sz w:val="28"/>
        </w:rPr>
        <w:t> </w:t>
      </w:r>
      <w:r>
        <w:rPr>
          <w:b/>
          <w:sz w:val="28"/>
        </w:rPr>
        <w:t>吨多元醇混合酯主要生产设备一览表</w:t>
      </w:r>
    </w:p>
    <w:tbl>
      <w:tblPr>
        <w:tblW w:w="0" w:type="auto"/>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3"/>
        <w:gridCol w:w="2847"/>
        <w:gridCol w:w="3133"/>
        <w:gridCol w:w="1429"/>
      </w:tblGrid>
      <w:tr>
        <w:trPr>
          <w:trHeight w:val="362" w:hRule="atLeast"/>
        </w:trPr>
        <w:tc>
          <w:tcPr>
            <w:tcW w:w="1313" w:type="dxa"/>
          </w:tcPr>
          <w:p>
            <w:pPr>
              <w:pStyle w:val="TableParagraph"/>
              <w:spacing w:before="46"/>
              <w:ind w:left="632" w:right="208"/>
              <w:rPr>
                <w:b/>
                <w:sz w:val="21"/>
              </w:rPr>
            </w:pPr>
            <w:r>
              <w:rPr>
                <w:b/>
                <w:sz w:val="21"/>
              </w:rPr>
              <w:t>序号</w:t>
            </w:r>
          </w:p>
        </w:tc>
        <w:tc>
          <w:tcPr>
            <w:tcW w:w="2847" w:type="dxa"/>
          </w:tcPr>
          <w:p>
            <w:pPr>
              <w:pStyle w:val="TableParagraph"/>
              <w:spacing w:before="46"/>
              <w:ind w:right="778"/>
              <w:jc w:val="right"/>
              <w:rPr>
                <w:b/>
                <w:sz w:val="21"/>
              </w:rPr>
            </w:pPr>
            <w:r>
              <w:rPr>
                <w:b/>
                <w:sz w:val="21"/>
              </w:rPr>
              <w:t>设备名称</w:t>
            </w:r>
          </w:p>
        </w:tc>
        <w:tc>
          <w:tcPr>
            <w:tcW w:w="3133" w:type="dxa"/>
          </w:tcPr>
          <w:p>
            <w:pPr>
              <w:pStyle w:val="TableParagraph"/>
              <w:spacing w:before="46"/>
              <w:ind w:left="1321"/>
              <w:jc w:val="left"/>
              <w:rPr>
                <w:b/>
                <w:sz w:val="21"/>
              </w:rPr>
            </w:pPr>
            <w:r>
              <w:rPr>
                <w:b/>
                <w:sz w:val="21"/>
              </w:rPr>
              <w:t>规格</w:t>
            </w:r>
            <w:r>
              <w:rPr>
                <w:rFonts w:ascii="Times New Roman" w:eastAsia="Times New Roman"/>
                <w:b/>
                <w:sz w:val="21"/>
              </w:rPr>
              <w:t>/</w:t>
            </w:r>
            <w:r>
              <w:rPr>
                <w:b/>
                <w:sz w:val="21"/>
              </w:rPr>
              <w:t>型号</w:t>
            </w:r>
          </w:p>
        </w:tc>
        <w:tc>
          <w:tcPr>
            <w:tcW w:w="1429" w:type="dxa"/>
          </w:tcPr>
          <w:p>
            <w:pPr>
              <w:pStyle w:val="TableParagraph"/>
              <w:spacing w:before="46"/>
              <w:ind w:left="688" w:right="268"/>
              <w:rPr>
                <w:b/>
                <w:sz w:val="21"/>
              </w:rPr>
            </w:pPr>
            <w:r>
              <w:rPr>
                <w:b/>
                <w:sz w:val="21"/>
              </w:rPr>
              <w:t>数量</w:t>
            </w:r>
          </w:p>
        </w:tc>
      </w:tr>
      <w:tr>
        <w:trPr>
          <w:trHeight w:val="285" w:hRule="atLeast"/>
        </w:trPr>
        <w:tc>
          <w:tcPr>
            <w:tcW w:w="1313" w:type="dxa"/>
          </w:tcPr>
          <w:p>
            <w:pPr>
              <w:pStyle w:val="TableParagraph"/>
              <w:spacing w:before="15"/>
              <w:ind w:left="429"/>
              <w:rPr>
                <w:rFonts w:ascii="Times New Roman"/>
                <w:sz w:val="21"/>
              </w:rPr>
            </w:pPr>
            <w:r>
              <w:rPr>
                <w:rFonts w:ascii="Times New Roman"/>
                <w:w w:val="100"/>
                <w:sz w:val="21"/>
              </w:rPr>
              <w:t>1</w:t>
            </w:r>
          </w:p>
        </w:tc>
        <w:tc>
          <w:tcPr>
            <w:tcW w:w="2847" w:type="dxa"/>
          </w:tcPr>
          <w:p>
            <w:pPr>
              <w:pStyle w:val="TableParagraph"/>
              <w:spacing w:line="257" w:lineRule="exact" w:before="8"/>
              <w:ind w:right="884"/>
              <w:jc w:val="right"/>
              <w:rPr>
                <w:sz w:val="21"/>
              </w:rPr>
            </w:pPr>
            <w:r>
              <w:rPr>
                <w:sz w:val="21"/>
              </w:rPr>
              <w:t>酯化釜</w:t>
            </w:r>
          </w:p>
        </w:tc>
        <w:tc>
          <w:tcPr>
            <w:tcW w:w="3133" w:type="dxa"/>
          </w:tcPr>
          <w:p>
            <w:pPr>
              <w:pStyle w:val="TableParagraph"/>
              <w:jc w:val="left"/>
              <w:rPr>
                <w:rFonts w:ascii="Times New Roman"/>
                <w:sz w:val="20"/>
              </w:rPr>
            </w:pPr>
          </w:p>
        </w:tc>
        <w:tc>
          <w:tcPr>
            <w:tcW w:w="1429" w:type="dxa"/>
          </w:tcPr>
          <w:p>
            <w:pPr>
              <w:pStyle w:val="TableParagraph"/>
              <w:spacing w:before="15"/>
              <w:ind w:left="425"/>
              <w:rPr>
                <w:rFonts w:ascii="Times New Roman"/>
                <w:sz w:val="21"/>
              </w:rPr>
            </w:pPr>
            <w:r>
              <w:rPr>
                <w:rFonts w:ascii="Times New Roman"/>
                <w:w w:val="100"/>
                <w:sz w:val="21"/>
              </w:rPr>
              <w:t>2</w:t>
            </w:r>
          </w:p>
        </w:tc>
      </w:tr>
      <w:tr>
        <w:trPr>
          <w:trHeight w:val="285" w:hRule="atLeast"/>
        </w:trPr>
        <w:tc>
          <w:tcPr>
            <w:tcW w:w="1313" w:type="dxa"/>
          </w:tcPr>
          <w:p>
            <w:pPr>
              <w:pStyle w:val="TableParagraph"/>
              <w:spacing w:before="15"/>
              <w:ind w:left="429"/>
              <w:rPr>
                <w:rFonts w:ascii="Times New Roman"/>
                <w:sz w:val="21"/>
              </w:rPr>
            </w:pPr>
            <w:r>
              <w:rPr>
                <w:rFonts w:ascii="Times New Roman"/>
                <w:w w:val="100"/>
                <w:sz w:val="21"/>
              </w:rPr>
              <w:t>2</w:t>
            </w:r>
          </w:p>
        </w:tc>
        <w:tc>
          <w:tcPr>
            <w:tcW w:w="2847" w:type="dxa"/>
          </w:tcPr>
          <w:p>
            <w:pPr>
              <w:pStyle w:val="TableParagraph"/>
              <w:spacing w:line="257" w:lineRule="exact" w:before="8"/>
              <w:ind w:right="884"/>
              <w:jc w:val="right"/>
              <w:rPr>
                <w:sz w:val="21"/>
              </w:rPr>
            </w:pPr>
            <w:r>
              <w:rPr>
                <w:sz w:val="21"/>
              </w:rPr>
              <w:t>粗蒸釜</w:t>
            </w:r>
          </w:p>
        </w:tc>
        <w:tc>
          <w:tcPr>
            <w:tcW w:w="3133" w:type="dxa"/>
          </w:tcPr>
          <w:p>
            <w:pPr>
              <w:pStyle w:val="TableParagraph"/>
              <w:jc w:val="left"/>
              <w:rPr>
                <w:rFonts w:ascii="Times New Roman"/>
                <w:sz w:val="20"/>
              </w:rPr>
            </w:pPr>
          </w:p>
        </w:tc>
        <w:tc>
          <w:tcPr>
            <w:tcW w:w="1429" w:type="dxa"/>
          </w:tcPr>
          <w:p>
            <w:pPr>
              <w:pStyle w:val="TableParagraph"/>
              <w:spacing w:before="15"/>
              <w:ind w:left="425"/>
              <w:rPr>
                <w:rFonts w:ascii="Times New Roman"/>
                <w:sz w:val="21"/>
              </w:rPr>
            </w:pPr>
            <w:r>
              <w:rPr>
                <w:rFonts w:ascii="Times New Roman"/>
                <w:w w:val="100"/>
                <w:sz w:val="21"/>
              </w:rPr>
              <w:t>2</w:t>
            </w:r>
          </w:p>
        </w:tc>
      </w:tr>
      <w:tr>
        <w:trPr>
          <w:trHeight w:val="285" w:hRule="atLeast"/>
        </w:trPr>
        <w:tc>
          <w:tcPr>
            <w:tcW w:w="1313" w:type="dxa"/>
          </w:tcPr>
          <w:p>
            <w:pPr>
              <w:pStyle w:val="TableParagraph"/>
              <w:spacing w:before="15"/>
              <w:ind w:left="429"/>
              <w:rPr>
                <w:rFonts w:ascii="Times New Roman"/>
                <w:sz w:val="21"/>
              </w:rPr>
            </w:pPr>
            <w:r>
              <w:rPr>
                <w:rFonts w:ascii="Times New Roman"/>
                <w:w w:val="100"/>
                <w:sz w:val="21"/>
              </w:rPr>
              <w:t>3</w:t>
            </w:r>
          </w:p>
        </w:tc>
        <w:tc>
          <w:tcPr>
            <w:tcW w:w="2847" w:type="dxa"/>
          </w:tcPr>
          <w:p>
            <w:pPr>
              <w:pStyle w:val="TableParagraph"/>
              <w:spacing w:line="257" w:lineRule="exact" w:before="8"/>
              <w:ind w:right="884"/>
              <w:jc w:val="right"/>
              <w:rPr>
                <w:sz w:val="21"/>
              </w:rPr>
            </w:pPr>
            <w:r>
              <w:rPr>
                <w:sz w:val="21"/>
              </w:rPr>
              <w:t>冷凝器</w:t>
            </w:r>
          </w:p>
        </w:tc>
        <w:tc>
          <w:tcPr>
            <w:tcW w:w="3133" w:type="dxa"/>
          </w:tcPr>
          <w:p>
            <w:pPr>
              <w:pStyle w:val="TableParagraph"/>
              <w:jc w:val="left"/>
              <w:rPr>
                <w:rFonts w:ascii="Times New Roman"/>
                <w:sz w:val="20"/>
              </w:rPr>
            </w:pPr>
          </w:p>
        </w:tc>
        <w:tc>
          <w:tcPr>
            <w:tcW w:w="1429" w:type="dxa"/>
          </w:tcPr>
          <w:p>
            <w:pPr>
              <w:pStyle w:val="TableParagraph"/>
              <w:spacing w:before="15"/>
              <w:ind w:left="425"/>
              <w:rPr>
                <w:rFonts w:ascii="Times New Roman"/>
                <w:sz w:val="21"/>
              </w:rPr>
            </w:pPr>
            <w:r>
              <w:rPr>
                <w:rFonts w:ascii="Times New Roman"/>
                <w:w w:val="100"/>
                <w:sz w:val="21"/>
              </w:rPr>
              <w:t>5</w:t>
            </w:r>
          </w:p>
        </w:tc>
      </w:tr>
      <w:tr>
        <w:trPr>
          <w:trHeight w:val="328" w:hRule="atLeast"/>
        </w:trPr>
        <w:tc>
          <w:tcPr>
            <w:tcW w:w="1313" w:type="dxa"/>
          </w:tcPr>
          <w:p>
            <w:pPr>
              <w:pStyle w:val="TableParagraph"/>
              <w:spacing w:before="34"/>
              <w:ind w:left="429"/>
              <w:rPr>
                <w:rFonts w:ascii="Times New Roman"/>
                <w:sz w:val="21"/>
              </w:rPr>
            </w:pPr>
            <w:r>
              <w:rPr>
                <w:rFonts w:ascii="Times New Roman"/>
                <w:w w:val="100"/>
                <w:sz w:val="21"/>
              </w:rPr>
              <w:t>4</w:t>
            </w:r>
          </w:p>
        </w:tc>
        <w:tc>
          <w:tcPr>
            <w:tcW w:w="2847" w:type="dxa"/>
          </w:tcPr>
          <w:p>
            <w:pPr>
              <w:pStyle w:val="TableParagraph"/>
              <w:spacing w:before="29"/>
              <w:ind w:right="884"/>
              <w:jc w:val="right"/>
              <w:rPr>
                <w:sz w:val="21"/>
              </w:rPr>
            </w:pPr>
            <w:r>
              <w:rPr>
                <w:sz w:val="21"/>
              </w:rPr>
              <w:t>中间槽</w:t>
            </w:r>
          </w:p>
        </w:tc>
        <w:tc>
          <w:tcPr>
            <w:tcW w:w="3133" w:type="dxa"/>
          </w:tcPr>
          <w:p>
            <w:pPr>
              <w:pStyle w:val="TableParagraph"/>
              <w:jc w:val="left"/>
              <w:rPr>
                <w:rFonts w:ascii="Times New Roman"/>
                <w:sz w:val="22"/>
              </w:rPr>
            </w:pPr>
          </w:p>
        </w:tc>
        <w:tc>
          <w:tcPr>
            <w:tcW w:w="1429" w:type="dxa"/>
          </w:tcPr>
          <w:p>
            <w:pPr>
              <w:pStyle w:val="TableParagraph"/>
              <w:spacing w:before="34"/>
              <w:ind w:left="425"/>
              <w:rPr>
                <w:rFonts w:ascii="Times New Roman"/>
                <w:sz w:val="21"/>
              </w:rPr>
            </w:pPr>
            <w:r>
              <w:rPr>
                <w:rFonts w:ascii="Times New Roman"/>
                <w:w w:val="100"/>
                <w:sz w:val="21"/>
              </w:rPr>
              <w:t>3</w:t>
            </w:r>
          </w:p>
        </w:tc>
      </w:tr>
      <w:tr>
        <w:trPr>
          <w:trHeight w:val="285" w:hRule="atLeast"/>
        </w:trPr>
        <w:tc>
          <w:tcPr>
            <w:tcW w:w="1313" w:type="dxa"/>
          </w:tcPr>
          <w:p>
            <w:pPr>
              <w:pStyle w:val="TableParagraph"/>
              <w:spacing w:before="15"/>
              <w:ind w:left="429"/>
              <w:rPr>
                <w:rFonts w:ascii="Times New Roman"/>
                <w:sz w:val="21"/>
              </w:rPr>
            </w:pPr>
            <w:r>
              <w:rPr>
                <w:rFonts w:ascii="Times New Roman"/>
                <w:w w:val="100"/>
                <w:sz w:val="21"/>
              </w:rPr>
              <w:t>5</w:t>
            </w:r>
          </w:p>
        </w:tc>
        <w:tc>
          <w:tcPr>
            <w:tcW w:w="2847" w:type="dxa"/>
          </w:tcPr>
          <w:p>
            <w:pPr>
              <w:pStyle w:val="TableParagraph"/>
              <w:spacing w:line="257" w:lineRule="exact" w:before="8"/>
              <w:ind w:right="884"/>
              <w:jc w:val="right"/>
              <w:rPr>
                <w:sz w:val="21"/>
              </w:rPr>
            </w:pPr>
            <w:r>
              <w:rPr>
                <w:sz w:val="21"/>
              </w:rPr>
              <w:t>精馏釜</w:t>
            </w:r>
          </w:p>
        </w:tc>
        <w:tc>
          <w:tcPr>
            <w:tcW w:w="3133" w:type="dxa"/>
          </w:tcPr>
          <w:p>
            <w:pPr>
              <w:pStyle w:val="TableParagraph"/>
              <w:jc w:val="left"/>
              <w:rPr>
                <w:rFonts w:ascii="Times New Roman"/>
                <w:sz w:val="20"/>
              </w:rPr>
            </w:pPr>
          </w:p>
        </w:tc>
        <w:tc>
          <w:tcPr>
            <w:tcW w:w="1429" w:type="dxa"/>
          </w:tcPr>
          <w:p>
            <w:pPr>
              <w:pStyle w:val="TableParagraph"/>
              <w:spacing w:before="15"/>
              <w:ind w:left="425"/>
              <w:rPr>
                <w:rFonts w:ascii="Times New Roman"/>
                <w:sz w:val="21"/>
              </w:rPr>
            </w:pPr>
            <w:r>
              <w:rPr>
                <w:rFonts w:ascii="Times New Roman"/>
                <w:w w:val="100"/>
                <w:sz w:val="21"/>
              </w:rPr>
              <w:t>2</w:t>
            </w:r>
          </w:p>
        </w:tc>
      </w:tr>
    </w:tbl>
    <w:p>
      <w:pPr>
        <w:tabs>
          <w:tab w:pos="2042" w:val="left" w:leader="none"/>
        </w:tabs>
        <w:spacing w:before="121" w:after="22"/>
        <w:ind w:left="0" w:right="1" w:firstLine="0"/>
        <w:jc w:val="center"/>
        <w:rPr>
          <w:b/>
          <w:sz w:val="28"/>
        </w:rPr>
      </w:pPr>
      <w:r>
        <w:rPr>
          <w:b/>
          <w:sz w:val="28"/>
        </w:rPr>
        <w:t>表</w:t>
      </w:r>
      <w:r>
        <w:rPr>
          <w:b/>
          <w:spacing w:val="-71"/>
          <w:sz w:val="28"/>
        </w:rPr>
        <w:t> </w:t>
      </w:r>
      <w:r>
        <w:rPr>
          <w:b/>
          <w:sz w:val="28"/>
        </w:rPr>
        <w:t>2-1-4（4）</w:t>
        <w:tab/>
        <w:t>500</w:t>
      </w:r>
      <w:r>
        <w:rPr>
          <w:b/>
          <w:spacing w:val="-72"/>
          <w:sz w:val="28"/>
        </w:rPr>
        <w:t> </w:t>
      </w:r>
      <w:r>
        <w:rPr>
          <w:b/>
          <w:sz w:val="28"/>
        </w:rPr>
        <w:t>吨/年乙腈灌装项目生产设备一览表</w:t>
      </w:r>
    </w:p>
    <w:tbl>
      <w:tblPr>
        <w:tblW w:w="0" w:type="auto"/>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6"/>
        <w:gridCol w:w="2633"/>
        <w:gridCol w:w="1846"/>
        <w:gridCol w:w="2014"/>
        <w:gridCol w:w="1112"/>
      </w:tblGrid>
      <w:tr>
        <w:trPr>
          <w:trHeight w:val="282" w:hRule="atLeast"/>
        </w:trPr>
        <w:tc>
          <w:tcPr>
            <w:tcW w:w="1116" w:type="dxa"/>
          </w:tcPr>
          <w:p>
            <w:pPr>
              <w:pStyle w:val="TableParagraph"/>
              <w:spacing w:line="257" w:lineRule="exact" w:before="5"/>
              <w:ind w:left="326" w:right="319"/>
              <w:rPr>
                <w:sz w:val="21"/>
              </w:rPr>
            </w:pPr>
            <w:r>
              <w:rPr>
                <w:sz w:val="21"/>
              </w:rPr>
              <w:t>序号</w:t>
            </w:r>
          </w:p>
        </w:tc>
        <w:tc>
          <w:tcPr>
            <w:tcW w:w="2633" w:type="dxa"/>
          </w:tcPr>
          <w:p>
            <w:pPr>
              <w:pStyle w:val="TableParagraph"/>
              <w:spacing w:line="257" w:lineRule="exact" w:before="5"/>
              <w:ind w:left="456" w:right="447"/>
              <w:rPr>
                <w:sz w:val="21"/>
              </w:rPr>
            </w:pPr>
            <w:r>
              <w:rPr>
                <w:sz w:val="21"/>
              </w:rPr>
              <w:t>设备名称</w:t>
            </w:r>
          </w:p>
        </w:tc>
        <w:tc>
          <w:tcPr>
            <w:tcW w:w="1846" w:type="dxa"/>
          </w:tcPr>
          <w:p>
            <w:pPr>
              <w:pStyle w:val="TableParagraph"/>
              <w:spacing w:line="257" w:lineRule="exact" w:before="5"/>
              <w:ind w:right="490"/>
              <w:jc w:val="right"/>
              <w:rPr>
                <w:sz w:val="21"/>
              </w:rPr>
            </w:pPr>
            <w:r>
              <w:rPr>
                <w:sz w:val="21"/>
              </w:rPr>
              <w:t>设备型号</w:t>
            </w:r>
          </w:p>
        </w:tc>
        <w:tc>
          <w:tcPr>
            <w:tcW w:w="2014" w:type="dxa"/>
          </w:tcPr>
          <w:p>
            <w:pPr>
              <w:pStyle w:val="TableParagraph"/>
              <w:spacing w:line="257" w:lineRule="exact" w:before="5"/>
              <w:ind w:left="458" w:right="450"/>
              <w:rPr>
                <w:sz w:val="21"/>
              </w:rPr>
            </w:pPr>
            <w:r>
              <w:rPr>
                <w:sz w:val="21"/>
              </w:rPr>
              <w:t>规格参数</w:t>
            </w:r>
          </w:p>
        </w:tc>
        <w:tc>
          <w:tcPr>
            <w:tcW w:w="1112" w:type="dxa"/>
          </w:tcPr>
          <w:p>
            <w:pPr>
              <w:pStyle w:val="TableParagraph"/>
              <w:spacing w:line="257" w:lineRule="exact" w:before="5"/>
              <w:ind w:left="325" w:right="316"/>
              <w:rPr>
                <w:sz w:val="21"/>
              </w:rPr>
            </w:pPr>
            <w:r>
              <w:rPr>
                <w:sz w:val="21"/>
              </w:rPr>
              <w:t>数量</w:t>
            </w:r>
          </w:p>
        </w:tc>
      </w:tr>
      <w:tr>
        <w:trPr>
          <w:trHeight w:val="285" w:hRule="atLeast"/>
        </w:trPr>
        <w:tc>
          <w:tcPr>
            <w:tcW w:w="1116" w:type="dxa"/>
          </w:tcPr>
          <w:p>
            <w:pPr>
              <w:pStyle w:val="TableParagraph"/>
              <w:spacing w:before="12"/>
              <w:ind w:left="7"/>
              <w:rPr>
                <w:rFonts w:ascii="Times New Roman"/>
                <w:sz w:val="21"/>
              </w:rPr>
            </w:pPr>
            <w:r>
              <w:rPr>
                <w:rFonts w:ascii="Times New Roman"/>
                <w:w w:val="100"/>
                <w:sz w:val="21"/>
              </w:rPr>
              <w:t>1</w:t>
            </w:r>
          </w:p>
        </w:tc>
        <w:tc>
          <w:tcPr>
            <w:tcW w:w="2633" w:type="dxa"/>
          </w:tcPr>
          <w:p>
            <w:pPr>
              <w:pStyle w:val="TableParagraph"/>
              <w:spacing w:line="259" w:lineRule="exact" w:before="5"/>
              <w:ind w:left="454" w:right="447"/>
              <w:rPr>
                <w:sz w:val="21"/>
              </w:rPr>
            </w:pPr>
            <w:r>
              <w:rPr>
                <w:sz w:val="21"/>
              </w:rPr>
              <w:t>洗瓶机</w:t>
            </w:r>
          </w:p>
        </w:tc>
        <w:tc>
          <w:tcPr>
            <w:tcW w:w="1846" w:type="dxa"/>
          </w:tcPr>
          <w:p>
            <w:pPr>
              <w:pStyle w:val="TableParagraph"/>
              <w:spacing w:before="12"/>
              <w:ind w:right="427"/>
              <w:jc w:val="right"/>
              <w:rPr>
                <w:rFonts w:ascii="Times New Roman"/>
                <w:sz w:val="21"/>
              </w:rPr>
            </w:pPr>
            <w:r>
              <w:rPr>
                <w:rFonts w:ascii="Times New Roman"/>
                <w:sz w:val="21"/>
              </w:rPr>
              <w:t>QZDX-600</w:t>
            </w:r>
          </w:p>
        </w:tc>
        <w:tc>
          <w:tcPr>
            <w:tcW w:w="2014" w:type="dxa"/>
          </w:tcPr>
          <w:p>
            <w:pPr>
              <w:pStyle w:val="TableParagraph"/>
              <w:spacing w:line="259" w:lineRule="exact" w:before="5"/>
              <w:ind w:left="458" w:right="450"/>
              <w:rPr>
                <w:sz w:val="21"/>
              </w:rPr>
            </w:pPr>
            <w:r>
              <w:rPr>
                <w:rFonts w:ascii="Times New Roman" w:eastAsia="Times New Roman"/>
                <w:sz w:val="21"/>
              </w:rPr>
              <w:t>100 </w:t>
            </w:r>
            <w:r>
              <w:rPr>
                <w:sz w:val="21"/>
              </w:rPr>
              <w:t>瓶</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2" w:hRule="atLeast"/>
        </w:trPr>
        <w:tc>
          <w:tcPr>
            <w:tcW w:w="1116" w:type="dxa"/>
          </w:tcPr>
          <w:p>
            <w:pPr>
              <w:pStyle w:val="TableParagraph"/>
              <w:spacing w:before="12"/>
              <w:ind w:left="7"/>
              <w:rPr>
                <w:rFonts w:ascii="Times New Roman"/>
                <w:sz w:val="21"/>
              </w:rPr>
            </w:pPr>
            <w:r>
              <w:rPr>
                <w:rFonts w:ascii="Times New Roman"/>
                <w:w w:val="100"/>
                <w:sz w:val="21"/>
              </w:rPr>
              <w:t>2</w:t>
            </w:r>
          </w:p>
        </w:tc>
        <w:tc>
          <w:tcPr>
            <w:tcW w:w="2633" w:type="dxa"/>
          </w:tcPr>
          <w:p>
            <w:pPr>
              <w:pStyle w:val="TableParagraph"/>
              <w:spacing w:line="257" w:lineRule="exact" w:before="5"/>
              <w:ind w:left="454" w:right="447"/>
              <w:rPr>
                <w:sz w:val="21"/>
              </w:rPr>
            </w:pPr>
            <w:r>
              <w:rPr>
                <w:sz w:val="21"/>
              </w:rPr>
              <w:t>烘干机</w:t>
            </w:r>
          </w:p>
        </w:tc>
        <w:tc>
          <w:tcPr>
            <w:tcW w:w="1846" w:type="dxa"/>
          </w:tcPr>
          <w:p>
            <w:pPr>
              <w:pStyle w:val="TableParagraph"/>
              <w:spacing w:before="12"/>
              <w:ind w:left="590"/>
              <w:jc w:val="left"/>
              <w:rPr>
                <w:rFonts w:ascii="Times New Roman"/>
                <w:sz w:val="21"/>
              </w:rPr>
            </w:pPr>
            <w:r>
              <w:rPr>
                <w:rFonts w:ascii="Times New Roman"/>
                <w:sz w:val="21"/>
              </w:rPr>
              <w:t>HZ-600</w:t>
            </w:r>
          </w:p>
        </w:tc>
        <w:tc>
          <w:tcPr>
            <w:tcW w:w="2014" w:type="dxa"/>
          </w:tcPr>
          <w:p>
            <w:pPr>
              <w:pStyle w:val="TableParagraph"/>
              <w:spacing w:line="257" w:lineRule="exact" w:before="5"/>
              <w:ind w:left="458" w:right="450"/>
              <w:rPr>
                <w:sz w:val="21"/>
              </w:rPr>
            </w:pPr>
            <w:r>
              <w:rPr>
                <w:rFonts w:ascii="Times New Roman" w:eastAsia="Times New Roman"/>
                <w:sz w:val="21"/>
              </w:rPr>
              <w:t>200 </w:t>
            </w:r>
            <w:r>
              <w:rPr>
                <w:sz w:val="21"/>
              </w:rPr>
              <w:t>瓶</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5" w:hRule="atLeast"/>
        </w:trPr>
        <w:tc>
          <w:tcPr>
            <w:tcW w:w="1116" w:type="dxa"/>
          </w:tcPr>
          <w:p>
            <w:pPr>
              <w:pStyle w:val="TableParagraph"/>
              <w:spacing w:before="12"/>
              <w:ind w:left="7"/>
              <w:rPr>
                <w:rFonts w:ascii="Times New Roman"/>
                <w:sz w:val="21"/>
              </w:rPr>
            </w:pPr>
            <w:r>
              <w:rPr>
                <w:rFonts w:ascii="Times New Roman"/>
                <w:w w:val="100"/>
                <w:sz w:val="21"/>
              </w:rPr>
              <w:t>3</w:t>
            </w:r>
          </w:p>
        </w:tc>
        <w:tc>
          <w:tcPr>
            <w:tcW w:w="2633" w:type="dxa"/>
          </w:tcPr>
          <w:p>
            <w:pPr>
              <w:pStyle w:val="TableParagraph"/>
              <w:spacing w:line="260" w:lineRule="exact" w:before="5"/>
              <w:ind w:left="456" w:right="447"/>
              <w:rPr>
                <w:sz w:val="21"/>
              </w:rPr>
            </w:pPr>
            <w:r>
              <w:rPr>
                <w:sz w:val="21"/>
              </w:rPr>
              <w:t>全自动真空灌装机</w:t>
            </w:r>
          </w:p>
        </w:tc>
        <w:tc>
          <w:tcPr>
            <w:tcW w:w="1846" w:type="dxa"/>
          </w:tcPr>
          <w:p>
            <w:pPr>
              <w:pStyle w:val="TableParagraph"/>
              <w:spacing w:before="12"/>
              <w:ind w:left="556"/>
              <w:jc w:val="left"/>
              <w:rPr>
                <w:rFonts w:ascii="Times New Roman"/>
                <w:sz w:val="21"/>
              </w:rPr>
            </w:pPr>
            <w:r>
              <w:rPr>
                <w:rFonts w:ascii="Times New Roman"/>
                <w:sz w:val="21"/>
              </w:rPr>
              <w:t>GZZK-8</w:t>
            </w:r>
          </w:p>
        </w:tc>
        <w:tc>
          <w:tcPr>
            <w:tcW w:w="2014" w:type="dxa"/>
          </w:tcPr>
          <w:p>
            <w:pPr>
              <w:pStyle w:val="TableParagraph"/>
              <w:spacing w:line="260" w:lineRule="exact" w:before="5"/>
              <w:ind w:left="458" w:right="450"/>
              <w:rPr>
                <w:sz w:val="21"/>
              </w:rPr>
            </w:pPr>
            <w:r>
              <w:rPr>
                <w:rFonts w:ascii="Times New Roman" w:eastAsia="Times New Roman"/>
                <w:sz w:val="21"/>
              </w:rPr>
              <w:t>60 </w:t>
            </w:r>
            <w:r>
              <w:rPr>
                <w:sz w:val="21"/>
              </w:rPr>
              <w:t>瓶</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2" w:hRule="atLeast"/>
        </w:trPr>
        <w:tc>
          <w:tcPr>
            <w:tcW w:w="1116" w:type="dxa"/>
          </w:tcPr>
          <w:p>
            <w:pPr>
              <w:pStyle w:val="TableParagraph"/>
              <w:spacing w:before="12"/>
              <w:ind w:left="7"/>
              <w:rPr>
                <w:rFonts w:ascii="Times New Roman"/>
                <w:sz w:val="21"/>
              </w:rPr>
            </w:pPr>
            <w:r>
              <w:rPr>
                <w:rFonts w:ascii="Times New Roman"/>
                <w:w w:val="100"/>
                <w:sz w:val="21"/>
              </w:rPr>
              <w:t>4</w:t>
            </w:r>
          </w:p>
        </w:tc>
        <w:tc>
          <w:tcPr>
            <w:tcW w:w="2633" w:type="dxa"/>
          </w:tcPr>
          <w:p>
            <w:pPr>
              <w:pStyle w:val="TableParagraph"/>
              <w:spacing w:line="257" w:lineRule="exact" w:before="5"/>
              <w:ind w:left="454" w:right="447"/>
              <w:rPr>
                <w:sz w:val="21"/>
              </w:rPr>
            </w:pPr>
            <w:r>
              <w:rPr>
                <w:sz w:val="21"/>
              </w:rPr>
              <w:t>旋盖机</w:t>
            </w:r>
          </w:p>
        </w:tc>
        <w:tc>
          <w:tcPr>
            <w:tcW w:w="1846" w:type="dxa"/>
          </w:tcPr>
          <w:p>
            <w:pPr>
              <w:pStyle w:val="TableParagraph"/>
              <w:spacing w:before="12"/>
              <w:ind w:left="566"/>
              <w:jc w:val="left"/>
              <w:rPr>
                <w:rFonts w:ascii="Times New Roman"/>
                <w:sz w:val="21"/>
              </w:rPr>
            </w:pPr>
            <w:r>
              <w:rPr>
                <w:rFonts w:ascii="Times New Roman"/>
                <w:sz w:val="21"/>
              </w:rPr>
              <w:t>XGZ-80</w:t>
            </w:r>
          </w:p>
        </w:tc>
        <w:tc>
          <w:tcPr>
            <w:tcW w:w="2014" w:type="dxa"/>
          </w:tcPr>
          <w:p>
            <w:pPr>
              <w:pStyle w:val="TableParagraph"/>
              <w:spacing w:line="257" w:lineRule="exact" w:before="5"/>
              <w:ind w:left="458" w:right="450"/>
              <w:rPr>
                <w:sz w:val="21"/>
              </w:rPr>
            </w:pPr>
            <w:r>
              <w:rPr>
                <w:rFonts w:ascii="Times New Roman" w:eastAsia="Times New Roman"/>
                <w:sz w:val="21"/>
              </w:rPr>
              <w:t>60 </w:t>
            </w:r>
            <w:r>
              <w:rPr>
                <w:sz w:val="21"/>
              </w:rPr>
              <w:t>瓶</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5" w:hRule="atLeast"/>
        </w:trPr>
        <w:tc>
          <w:tcPr>
            <w:tcW w:w="1116" w:type="dxa"/>
          </w:tcPr>
          <w:p>
            <w:pPr>
              <w:pStyle w:val="TableParagraph"/>
              <w:spacing w:before="12"/>
              <w:ind w:left="7"/>
              <w:rPr>
                <w:rFonts w:ascii="Times New Roman"/>
                <w:sz w:val="21"/>
              </w:rPr>
            </w:pPr>
            <w:r>
              <w:rPr>
                <w:rFonts w:ascii="Times New Roman"/>
                <w:w w:val="100"/>
                <w:sz w:val="21"/>
              </w:rPr>
              <w:t>5</w:t>
            </w:r>
          </w:p>
        </w:tc>
        <w:tc>
          <w:tcPr>
            <w:tcW w:w="2633" w:type="dxa"/>
          </w:tcPr>
          <w:p>
            <w:pPr>
              <w:pStyle w:val="TableParagraph"/>
              <w:spacing w:line="259" w:lineRule="exact" w:before="6"/>
              <w:ind w:left="454" w:right="447"/>
              <w:rPr>
                <w:sz w:val="21"/>
              </w:rPr>
            </w:pPr>
            <w:r>
              <w:rPr>
                <w:sz w:val="21"/>
              </w:rPr>
              <w:t>贴标机</w:t>
            </w:r>
          </w:p>
        </w:tc>
        <w:tc>
          <w:tcPr>
            <w:tcW w:w="1846" w:type="dxa"/>
          </w:tcPr>
          <w:p>
            <w:pPr>
              <w:pStyle w:val="TableParagraph"/>
              <w:spacing w:before="12"/>
              <w:ind w:left="530"/>
              <w:jc w:val="left"/>
              <w:rPr>
                <w:rFonts w:ascii="Times New Roman"/>
                <w:sz w:val="21"/>
              </w:rPr>
            </w:pPr>
            <w:r>
              <w:rPr>
                <w:rFonts w:ascii="Times New Roman"/>
                <w:sz w:val="21"/>
              </w:rPr>
              <w:t>TZB-100</w:t>
            </w:r>
          </w:p>
        </w:tc>
        <w:tc>
          <w:tcPr>
            <w:tcW w:w="2014" w:type="dxa"/>
          </w:tcPr>
          <w:p>
            <w:pPr>
              <w:pStyle w:val="TableParagraph"/>
              <w:spacing w:line="259" w:lineRule="exact" w:before="6"/>
              <w:ind w:left="458" w:right="450"/>
              <w:rPr>
                <w:sz w:val="21"/>
              </w:rPr>
            </w:pPr>
            <w:r>
              <w:rPr>
                <w:rFonts w:ascii="Times New Roman" w:eastAsia="Times New Roman"/>
                <w:sz w:val="21"/>
              </w:rPr>
              <w:t>60 </w:t>
            </w:r>
            <w:r>
              <w:rPr>
                <w:sz w:val="21"/>
              </w:rPr>
              <w:t>瓶</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2" w:hRule="atLeast"/>
        </w:trPr>
        <w:tc>
          <w:tcPr>
            <w:tcW w:w="1116" w:type="dxa"/>
          </w:tcPr>
          <w:p>
            <w:pPr>
              <w:pStyle w:val="TableParagraph"/>
              <w:jc w:val="left"/>
              <w:rPr>
                <w:rFonts w:ascii="Times New Roman"/>
                <w:sz w:val="20"/>
              </w:rPr>
            </w:pPr>
          </w:p>
        </w:tc>
        <w:tc>
          <w:tcPr>
            <w:tcW w:w="2633" w:type="dxa"/>
          </w:tcPr>
          <w:p>
            <w:pPr>
              <w:pStyle w:val="TableParagraph"/>
              <w:spacing w:line="257" w:lineRule="exact" w:before="5"/>
              <w:ind w:left="454" w:right="447"/>
              <w:rPr>
                <w:sz w:val="21"/>
              </w:rPr>
            </w:pPr>
            <w:r>
              <w:rPr>
                <w:sz w:val="21"/>
              </w:rPr>
              <w:t>包装机</w:t>
            </w:r>
          </w:p>
        </w:tc>
        <w:tc>
          <w:tcPr>
            <w:tcW w:w="1846" w:type="dxa"/>
          </w:tcPr>
          <w:p>
            <w:pPr>
              <w:pStyle w:val="TableParagraph"/>
              <w:spacing w:before="12"/>
              <w:ind w:left="571"/>
              <w:jc w:val="left"/>
              <w:rPr>
                <w:rFonts w:ascii="Times New Roman"/>
                <w:sz w:val="21"/>
              </w:rPr>
            </w:pPr>
            <w:r>
              <w:rPr>
                <w:rFonts w:ascii="Times New Roman"/>
                <w:sz w:val="21"/>
              </w:rPr>
              <w:t>BZQ-40</w:t>
            </w:r>
          </w:p>
        </w:tc>
        <w:tc>
          <w:tcPr>
            <w:tcW w:w="2014" w:type="dxa"/>
          </w:tcPr>
          <w:p>
            <w:pPr>
              <w:pStyle w:val="TableParagraph"/>
              <w:spacing w:line="257" w:lineRule="exact" w:before="5"/>
              <w:ind w:left="458" w:right="450"/>
              <w:rPr>
                <w:sz w:val="21"/>
              </w:rPr>
            </w:pPr>
            <w:r>
              <w:rPr>
                <w:rFonts w:ascii="Times New Roman" w:eastAsia="Times New Roman"/>
                <w:sz w:val="21"/>
              </w:rPr>
              <w:t>60 </w:t>
            </w:r>
            <w:r>
              <w:rPr>
                <w:sz w:val="21"/>
              </w:rPr>
              <w:t>箱</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5" w:hRule="atLeast"/>
        </w:trPr>
        <w:tc>
          <w:tcPr>
            <w:tcW w:w="1116" w:type="dxa"/>
          </w:tcPr>
          <w:p>
            <w:pPr>
              <w:pStyle w:val="TableParagraph"/>
              <w:spacing w:before="12"/>
              <w:ind w:left="7"/>
              <w:rPr>
                <w:rFonts w:ascii="Times New Roman"/>
                <w:sz w:val="21"/>
              </w:rPr>
            </w:pPr>
            <w:r>
              <w:rPr>
                <w:rFonts w:ascii="Times New Roman"/>
                <w:w w:val="100"/>
                <w:sz w:val="21"/>
              </w:rPr>
              <w:t>7</w:t>
            </w:r>
          </w:p>
        </w:tc>
        <w:tc>
          <w:tcPr>
            <w:tcW w:w="2633" w:type="dxa"/>
          </w:tcPr>
          <w:p>
            <w:pPr>
              <w:pStyle w:val="TableParagraph"/>
              <w:spacing w:line="259" w:lineRule="exact" w:before="6"/>
              <w:ind w:left="454" w:right="447"/>
              <w:rPr>
                <w:sz w:val="21"/>
              </w:rPr>
            </w:pPr>
            <w:r>
              <w:rPr>
                <w:sz w:val="21"/>
              </w:rPr>
              <w:t>纯水机</w:t>
            </w:r>
          </w:p>
        </w:tc>
        <w:tc>
          <w:tcPr>
            <w:tcW w:w="1846" w:type="dxa"/>
          </w:tcPr>
          <w:p>
            <w:pPr>
              <w:pStyle w:val="TableParagraph"/>
              <w:spacing w:before="12"/>
              <w:ind w:left="603" w:right="597"/>
              <w:rPr>
                <w:rFonts w:ascii="Times New Roman"/>
                <w:sz w:val="21"/>
              </w:rPr>
            </w:pPr>
            <w:r>
              <w:rPr>
                <w:rFonts w:ascii="Times New Roman"/>
                <w:sz w:val="21"/>
              </w:rPr>
              <w:t>ZYC-1</w:t>
            </w:r>
          </w:p>
        </w:tc>
        <w:tc>
          <w:tcPr>
            <w:tcW w:w="2014" w:type="dxa"/>
          </w:tcPr>
          <w:p>
            <w:pPr>
              <w:pStyle w:val="TableParagraph"/>
              <w:spacing w:line="259" w:lineRule="exact" w:before="6"/>
              <w:ind w:left="458" w:right="450"/>
              <w:rPr>
                <w:sz w:val="21"/>
              </w:rPr>
            </w:pPr>
            <w:r>
              <w:rPr>
                <w:rFonts w:ascii="Times New Roman" w:eastAsia="Times New Roman"/>
                <w:sz w:val="21"/>
              </w:rPr>
              <w:t>1 </w:t>
            </w:r>
            <w:r>
              <w:rPr>
                <w:sz w:val="21"/>
              </w:rPr>
              <w:t>吨</w:t>
            </w:r>
            <w:r>
              <w:rPr>
                <w:rFonts w:ascii="Times New Roman" w:eastAsia="Times New Roman"/>
                <w:sz w:val="21"/>
              </w:rPr>
              <w:t>/</w:t>
            </w:r>
            <w:r>
              <w:rPr>
                <w:sz w:val="21"/>
              </w:rPr>
              <w:t>小时</w:t>
            </w:r>
          </w:p>
        </w:tc>
        <w:tc>
          <w:tcPr>
            <w:tcW w:w="1112" w:type="dxa"/>
          </w:tcPr>
          <w:p>
            <w:pPr>
              <w:pStyle w:val="TableParagraph"/>
              <w:spacing w:before="12"/>
              <w:ind w:left="9"/>
              <w:rPr>
                <w:rFonts w:ascii="Times New Roman"/>
                <w:sz w:val="21"/>
              </w:rPr>
            </w:pPr>
            <w:r>
              <w:rPr>
                <w:rFonts w:ascii="Times New Roman"/>
                <w:w w:val="100"/>
                <w:sz w:val="21"/>
              </w:rPr>
              <w:t>1</w:t>
            </w:r>
          </w:p>
        </w:tc>
      </w:tr>
      <w:tr>
        <w:trPr>
          <w:trHeight w:val="282" w:hRule="atLeast"/>
        </w:trPr>
        <w:tc>
          <w:tcPr>
            <w:tcW w:w="1116" w:type="dxa"/>
          </w:tcPr>
          <w:p>
            <w:pPr>
              <w:pStyle w:val="TableParagraph"/>
              <w:spacing w:before="12"/>
              <w:ind w:left="7"/>
              <w:rPr>
                <w:rFonts w:ascii="Times New Roman"/>
                <w:sz w:val="21"/>
              </w:rPr>
            </w:pPr>
            <w:r>
              <w:rPr>
                <w:rFonts w:ascii="Times New Roman"/>
                <w:w w:val="100"/>
                <w:sz w:val="21"/>
              </w:rPr>
              <w:t>8</w:t>
            </w:r>
          </w:p>
        </w:tc>
        <w:tc>
          <w:tcPr>
            <w:tcW w:w="2633" w:type="dxa"/>
          </w:tcPr>
          <w:p>
            <w:pPr>
              <w:pStyle w:val="TableParagraph"/>
              <w:spacing w:line="257" w:lineRule="exact" w:before="5"/>
              <w:ind w:left="454" w:right="447"/>
              <w:rPr>
                <w:sz w:val="21"/>
              </w:rPr>
            </w:pPr>
            <w:r>
              <w:rPr>
                <w:sz w:val="21"/>
              </w:rPr>
              <w:t>缓冲罐</w:t>
            </w:r>
          </w:p>
        </w:tc>
        <w:tc>
          <w:tcPr>
            <w:tcW w:w="1846" w:type="dxa"/>
          </w:tcPr>
          <w:p>
            <w:pPr>
              <w:pStyle w:val="TableParagraph"/>
              <w:spacing w:before="12"/>
              <w:ind w:left="558"/>
              <w:jc w:val="left"/>
              <w:rPr>
                <w:rFonts w:ascii="Times New Roman"/>
                <w:sz w:val="21"/>
              </w:rPr>
            </w:pPr>
            <w:r>
              <w:rPr>
                <w:rFonts w:ascii="Times New Roman"/>
                <w:sz w:val="21"/>
              </w:rPr>
              <w:t>BXG-80</w:t>
            </w:r>
          </w:p>
        </w:tc>
        <w:tc>
          <w:tcPr>
            <w:tcW w:w="2014" w:type="dxa"/>
          </w:tcPr>
          <w:p>
            <w:pPr>
              <w:pStyle w:val="TableParagraph"/>
              <w:spacing w:before="12"/>
              <w:ind w:left="458" w:right="448"/>
              <w:rPr>
                <w:rFonts w:ascii="Times New Roman"/>
                <w:sz w:val="21"/>
              </w:rPr>
            </w:pPr>
            <w:r>
              <w:rPr>
                <w:rFonts w:ascii="Times New Roman"/>
                <w:sz w:val="21"/>
              </w:rPr>
              <w:t>80L</w:t>
            </w:r>
          </w:p>
        </w:tc>
        <w:tc>
          <w:tcPr>
            <w:tcW w:w="1112" w:type="dxa"/>
          </w:tcPr>
          <w:p>
            <w:pPr>
              <w:pStyle w:val="TableParagraph"/>
              <w:spacing w:before="12"/>
              <w:ind w:left="9"/>
              <w:rPr>
                <w:rFonts w:ascii="Times New Roman"/>
                <w:sz w:val="21"/>
              </w:rPr>
            </w:pPr>
            <w:r>
              <w:rPr>
                <w:rFonts w:ascii="Times New Roman"/>
                <w:w w:val="100"/>
                <w:sz w:val="21"/>
              </w:rPr>
              <w:t>3</w:t>
            </w:r>
          </w:p>
        </w:tc>
      </w:tr>
      <w:tr>
        <w:trPr>
          <w:trHeight w:val="285" w:hRule="atLeast"/>
        </w:trPr>
        <w:tc>
          <w:tcPr>
            <w:tcW w:w="7609" w:type="dxa"/>
            <w:gridSpan w:val="4"/>
          </w:tcPr>
          <w:p>
            <w:pPr>
              <w:pStyle w:val="TableParagraph"/>
              <w:spacing w:line="259" w:lineRule="exact" w:before="6"/>
              <w:ind w:left="3573" w:right="3565"/>
              <w:rPr>
                <w:sz w:val="21"/>
              </w:rPr>
            </w:pPr>
            <w:r>
              <w:rPr>
                <w:sz w:val="21"/>
              </w:rPr>
              <w:t>合计</w:t>
            </w:r>
          </w:p>
        </w:tc>
        <w:tc>
          <w:tcPr>
            <w:tcW w:w="1112" w:type="dxa"/>
          </w:tcPr>
          <w:p>
            <w:pPr>
              <w:pStyle w:val="TableParagraph"/>
              <w:spacing w:before="12"/>
              <w:ind w:left="325" w:right="316"/>
              <w:rPr>
                <w:rFonts w:ascii="Times New Roman"/>
                <w:sz w:val="21"/>
              </w:rPr>
            </w:pPr>
            <w:r>
              <w:rPr>
                <w:rFonts w:ascii="Times New Roman"/>
                <w:sz w:val="21"/>
              </w:rPr>
              <w:t>10</w:t>
            </w:r>
          </w:p>
        </w:tc>
      </w:tr>
    </w:tbl>
    <w:p>
      <w:pPr>
        <w:pStyle w:val="BodyText"/>
        <w:rPr>
          <w:b/>
        </w:rPr>
      </w:pPr>
    </w:p>
    <w:p>
      <w:pPr>
        <w:pStyle w:val="ListParagraph"/>
        <w:numPr>
          <w:ilvl w:val="1"/>
          <w:numId w:val="4"/>
        </w:numPr>
        <w:tabs>
          <w:tab w:pos="917" w:val="left" w:leader="none"/>
        </w:tabs>
        <w:spacing w:line="240" w:lineRule="auto" w:before="184" w:after="0"/>
        <w:ind w:left="916" w:right="0" w:hanging="496"/>
        <w:jc w:val="left"/>
        <w:rPr>
          <w:b/>
          <w:sz w:val="28"/>
        </w:rPr>
      </w:pPr>
      <w:bookmarkStart w:name="_TOC_250055" w:id="13"/>
      <w:bookmarkEnd w:id="13"/>
      <w:r>
        <w:rPr>
          <w:b/>
          <w:sz w:val="28"/>
        </w:rPr>
        <w:t>污染物产生及排放处理情况</w:t>
      </w:r>
    </w:p>
    <w:p>
      <w:pPr>
        <w:pStyle w:val="ListParagraph"/>
        <w:numPr>
          <w:ilvl w:val="2"/>
          <w:numId w:val="4"/>
        </w:numPr>
        <w:tabs>
          <w:tab w:pos="1478" w:val="left" w:leader="none"/>
        </w:tabs>
        <w:spacing w:line="240" w:lineRule="auto" w:before="186" w:after="0"/>
        <w:ind w:left="1477" w:right="0" w:hanging="776"/>
        <w:jc w:val="left"/>
        <w:rPr>
          <w:b/>
          <w:sz w:val="28"/>
        </w:rPr>
      </w:pPr>
      <w:r>
        <w:rPr>
          <w:b/>
          <w:sz w:val="28"/>
        </w:rPr>
        <w:t>废水污染物</w:t>
      </w:r>
    </w:p>
    <w:p>
      <w:pPr>
        <w:pStyle w:val="ListParagraph"/>
        <w:numPr>
          <w:ilvl w:val="0"/>
          <w:numId w:val="7"/>
        </w:numPr>
        <w:tabs>
          <w:tab w:pos="1311" w:val="left" w:leader="none"/>
        </w:tabs>
        <w:spacing w:line="364" w:lineRule="auto" w:before="186" w:after="0"/>
        <w:ind w:left="421" w:right="413" w:firstLine="559"/>
        <w:jc w:val="both"/>
        <w:rPr>
          <w:sz w:val="28"/>
        </w:rPr>
      </w:pPr>
      <w:r>
        <w:rPr>
          <w:sz w:val="28"/>
        </w:rPr>
        <w:t>该项目产生的生产废水主要为反应生成水、多元醇混合酯生产废水、循环水池排污水、地面设备冲洗水等，其中乙腈生产废水、多元醇混合酯生产废水预处理后，同生活废水、地面设备冲洗水、循环冷却排污水一同排入到厂内污水处理站处理，一起排至滨海渤发污水</w:t>
      </w:r>
    </w:p>
    <w:p>
      <w:pPr>
        <w:spacing w:after="0" w:line="364" w:lineRule="auto"/>
        <w:jc w:val="both"/>
        <w:rPr>
          <w:sz w:val="28"/>
        </w:rPr>
        <w:sectPr>
          <w:pgSz w:w="11910" w:h="16840"/>
          <w:pgMar w:header="0" w:footer="984" w:top="1580" w:bottom="1180" w:left="1280" w:right="1280"/>
        </w:sectPr>
      </w:pPr>
    </w:p>
    <w:p>
      <w:pPr>
        <w:pStyle w:val="BodyText"/>
        <w:spacing w:line="364" w:lineRule="auto" w:before="102"/>
        <w:ind w:left="421" w:right="416"/>
      </w:pPr>
      <w:r>
        <w:rPr>
          <w:spacing w:val="-10"/>
        </w:rPr>
        <w:t>处理厂进一步处理。污水站设计处理水量 </w:t>
      </w:r>
      <w:r>
        <w:rPr>
          <w:rFonts w:ascii="Times New Roman" w:hAnsi="Times New Roman" w:eastAsia="Times New Roman"/>
          <w:spacing w:val="-7"/>
        </w:rPr>
        <w:t>50t/d</w:t>
      </w:r>
      <w:r>
        <w:rPr>
          <w:spacing w:val="-9"/>
        </w:rPr>
        <w:t>，采取“厌氧</w:t>
      </w:r>
      <w:r>
        <w:rPr>
          <w:rFonts w:ascii="Times New Roman" w:hAnsi="Times New Roman" w:eastAsia="Times New Roman"/>
          <w:spacing w:val="-3"/>
        </w:rPr>
        <w:t>+</w:t>
      </w:r>
      <w:r>
        <w:rPr>
          <w:spacing w:val="-9"/>
        </w:rPr>
        <w:t>好氧”生</w:t>
      </w:r>
      <w:r>
        <w:rPr>
          <w:spacing w:val="-6"/>
        </w:rPr>
        <w:t>化处理工艺。</w:t>
      </w:r>
    </w:p>
    <w:p>
      <w:pPr>
        <w:pStyle w:val="ListParagraph"/>
        <w:numPr>
          <w:ilvl w:val="0"/>
          <w:numId w:val="7"/>
        </w:numPr>
        <w:tabs>
          <w:tab w:pos="1311" w:val="left" w:leader="none"/>
        </w:tabs>
        <w:spacing w:line="364" w:lineRule="auto" w:before="0" w:after="0"/>
        <w:ind w:left="421" w:right="413" w:firstLine="559"/>
        <w:jc w:val="left"/>
        <w:rPr>
          <w:sz w:val="28"/>
        </w:rPr>
      </w:pPr>
      <w:r>
        <w:rPr>
          <w:sz w:val="28"/>
        </w:rPr>
        <w:t>生活污水全部进入化粪池，再经厂区污水处理站处理后接入潍</w:t>
      </w:r>
      <w:r>
        <w:rPr>
          <w:spacing w:val="-3"/>
          <w:sz w:val="28"/>
        </w:rPr>
        <w:t>坊渤发污水处理厂进一步处理。</w:t>
      </w:r>
    </w:p>
    <w:p>
      <w:pPr>
        <w:pStyle w:val="BodyText"/>
        <w:spacing w:line="358" w:lineRule="exact"/>
        <w:ind w:left="980"/>
      </w:pPr>
      <w:r>
        <w:rPr/>
        <w:t>全年废水产生量 </w:t>
      </w:r>
      <w:r>
        <w:rPr>
          <w:rFonts w:ascii="Times New Roman" w:eastAsia="Times New Roman"/>
        </w:rPr>
        <w:t>13294m</w:t>
      </w:r>
      <w:r>
        <w:rPr>
          <w:rFonts w:ascii="Times New Roman" w:eastAsia="Times New Roman"/>
          <w:vertAlign w:val="superscript"/>
        </w:rPr>
        <w:t>3</w:t>
      </w:r>
      <w:r>
        <w:rPr>
          <w:vertAlign w:val="baseline"/>
        </w:rPr>
        <w:t>。</w:t>
      </w:r>
    </w:p>
    <w:p>
      <w:pPr>
        <w:pStyle w:val="ListParagraph"/>
        <w:numPr>
          <w:ilvl w:val="2"/>
          <w:numId w:val="4"/>
        </w:numPr>
        <w:tabs>
          <w:tab w:pos="1478" w:val="left" w:leader="none"/>
        </w:tabs>
        <w:spacing w:line="240" w:lineRule="auto" w:before="185" w:after="0"/>
        <w:ind w:left="1477" w:right="0" w:hanging="776"/>
        <w:jc w:val="left"/>
        <w:rPr>
          <w:b/>
          <w:sz w:val="28"/>
        </w:rPr>
      </w:pPr>
      <w:r>
        <w:rPr>
          <w:b/>
          <w:sz w:val="28"/>
        </w:rPr>
        <w:t>废气污染物</w:t>
      </w:r>
    </w:p>
    <w:p>
      <w:pPr>
        <w:pStyle w:val="BodyText"/>
        <w:spacing w:before="7"/>
        <w:rPr>
          <w:b/>
          <w:sz w:val="9"/>
        </w:rPr>
      </w:pPr>
    </w:p>
    <w:p>
      <w:pPr>
        <w:tabs>
          <w:tab w:pos="4266" w:val="left" w:leader="none"/>
        </w:tabs>
        <w:spacing w:before="61"/>
        <w:ind w:left="2927" w:right="0" w:firstLine="0"/>
        <w:jc w:val="left"/>
        <w:rPr>
          <w:b/>
          <w:sz w:val="28"/>
        </w:rPr>
      </w:pPr>
      <w:r>
        <w:rPr>
          <w:b/>
          <w:sz w:val="28"/>
        </w:rPr>
        <w:t>表</w:t>
      </w:r>
      <w:r>
        <w:rPr>
          <w:b/>
          <w:spacing w:val="-70"/>
          <w:sz w:val="28"/>
        </w:rPr>
        <w:t> </w:t>
      </w:r>
      <w:r>
        <w:rPr>
          <w:b/>
          <w:sz w:val="28"/>
        </w:rPr>
        <w:t>2-5-1</w:t>
        <w:tab/>
        <w:t>废气产生及处置情况表</w:t>
      </w:r>
    </w:p>
    <w:p>
      <w:pPr>
        <w:pStyle w:val="BodyText"/>
        <w:spacing w:before="8" w:after="1"/>
        <w:rPr>
          <w:b/>
          <w:sz w:val="14"/>
        </w:rPr>
      </w:pPr>
    </w:p>
    <w:tbl>
      <w:tblPr>
        <w:tblW w:w="0" w:type="auto"/>
        <w:jc w:val="left"/>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603"/>
        <w:gridCol w:w="1416"/>
        <w:gridCol w:w="2700"/>
        <w:gridCol w:w="3254"/>
      </w:tblGrid>
      <w:tr>
        <w:trPr>
          <w:trHeight w:val="935" w:hRule="atLeast"/>
        </w:trPr>
        <w:tc>
          <w:tcPr>
            <w:tcW w:w="1603" w:type="dxa"/>
          </w:tcPr>
          <w:p>
            <w:pPr>
              <w:pStyle w:val="TableParagraph"/>
              <w:spacing w:before="2"/>
              <w:jc w:val="left"/>
              <w:rPr>
                <w:b/>
                <w:sz w:val="18"/>
              </w:rPr>
            </w:pPr>
          </w:p>
          <w:p>
            <w:pPr>
              <w:pStyle w:val="TableParagraph"/>
              <w:ind w:left="59" w:right="59"/>
              <w:rPr>
                <w:sz w:val="24"/>
              </w:rPr>
            </w:pPr>
            <w:r>
              <w:rPr>
                <w:sz w:val="24"/>
              </w:rPr>
              <w:t>排放工序</w:t>
            </w:r>
          </w:p>
        </w:tc>
        <w:tc>
          <w:tcPr>
            <w:tcW w:w="1416" w:type="dxa"/>
          </w:tcPr>
          <w:p>
            <w:pPr>
              <w:pStyle w:val="TableParagraph"/>
              <w:ind w:left="328" w:right="323"/>
              <w:rPr>
                <w:sz w:val="24"/>
              </w:rPr>
            </w:pPr>
            <w:r>
              <w:rPr>
                <w:sz w:val="24"/>
              </w:rPr>
              <w:t>污染物</w:t>
            </w:r>
          </w:p>
          <w:p>
            <w:pPr>
              <w:pStyle w:val="TableParagraph"/>
              <w:spacing w:before="160"/>
              <w:ind w:left="328" w:right="323"/>
              <w:rPr>
                <w:sz w:val="24"/>
              </w:rPr>
            </w:pPr>
            <w:r>
              <w:rPr>
                <w:sz w:val="24"/>
              </w:rPr>
              <w:t>名称</w:t>
            </w:r>
          </w:p>
        </w:tc>
        <w:tc>
          <w:tcPr>
            <w:tcW w:w="2700" w:type="dxa"/>
          </w:tcPr>
          <w:p>
            <w:pPr>
              <w:pStyle w:val="TableParagraph"/>
              <w:spacing w:before="2"/>
              <w:jc w:val="left"/>
              <w:rPr>
                <w:b/>
                <w:sz w:val="18"/>
              </w:rPr>
            </w:pPr>
          </w:p>
          <w:p>
            <w:pPr>
              <w:pStyle w:val="TableParagraph"/>
              <w:ind w:left="307" w:right="305"/>
              <w:rPr>
                <w:sz w:val="24"/>
              </w:rPr>
            </w:pPr>
            <w:r>
              <w:rPr>
                <w:sz w:val="24"/>
              </w:rPr>
              <w:t>采取的防治措施</w:t>
            </w:r>
          </w:p>
        </w:tc>
        <w:tc>
          <w:tcPr>
            <w:tcW w:w="3254" w:type="dxa"/>
          </w:tcPr>
          <w:p>
            <w:pPr>
              <w:pStyle w:val="TableParagraph"/>
              <w:spacing w:before="2"/>
              <w:jc w:val="left"/>
              <w:rPr>
                <w:b/>
                <w:sz w:val="18"/>
              </w:rPr>
            </w:pPr>
          </w:p>
          <w:p>
            <w:pPr>
              <w:pStyle w:val="TableParagraph"/>
              <w:ind w:left="65" w:right="59"/>
              <w:rPr>
                <w:sz w:val="24"/>
              </w:rPr>
            </w:pPr>
            <w:r>
              <w:rPr>
                <w:sz w:val="24"/>
              </w:rPr>
              <w:t>治理效果</w:t>
            </w:r>
          </w:p>
        </w:tc>
      </w:tr>
      <w:tr>
        <w:trPr>
          <w:trHeight w:val="1399" w:hRule="atLeast"/>
        </w:trPr>
        <w:tc>
          <w:tcPr>
            <w:tcW w:w="1603" w:type="dxa"/>
          </w:tcPr>
          <w:p>
            <w:pPr>
              <w:pStyle w:val="TableParagraph"/>
              <w:jc w:val="left"/>
              <w:rPr>
                <w:b/>
                <w:sz w:val="24"/>
              </w:rPr>
            </w:pPr>
          </w:p>
          <w:p>
            <w:pPr>
              <w:pStyle w:val="TableParagraph"/>
              <w:spacing w:before="158"/>
              <w:ind w:left="59" w:right="59"/>
              <w:rPr>
                <w:sz w:val="24"/>
              </w:rPr>
            </w:pPr>
            <w:r>
              <w:rPr>
                <w:sz w:val="24"/>
              </w:rPr>
              <w:t>燃气锅炉废气</w:t>
            </w:r>
          </w:p>
        </w:tc>
        <w:tc>
          <w:tcPr>
            <w:tcW w:w="1416" w:type="dxa"/>
          </w:tcPr>
          <w:p>
            <w:pPr>
              <w:pStyle w:val="TableParagraph"/>
              <w:spacing w:before="1"/>
              <w:jc w:val="left"/>
              <w:rPr>
                <w:b/>
                <w:sz w:val="18"/>
              </w:rPr>
            </w:pPr>
          </w:p>
          <w:p>
            <w:pPr>
              <w:pStyle w:val="TableParagraph"/>
              <w:spacing w:line="362" w:lineRule="auto"/>
              <w:ind w:left="559" w:right="69" w:hanging="480"/>
              <w:jc w:val="left"/>
              <w:rPr>
                <w:sz w:val="12"/>
              </w:rPr>
            </w:pPr>
            <w:r>
              <w:rPr>
                <w:position w:val="2"/>
                <w:sz w:val="24"/>
              </w:rPr>
              <w:t>烟尘、SO</w:t>
            </w:r>
            <w:r>
              <w:rPr>
                <w:sz w:val="12"/>
              </w:rPr>
              <w:t>2</w:t>
            </w:r>
            <w:r>
              <w:rPr>
                <w:position w:val="2"/>
                <w:sz w:val="24"/>
              </w:rPr>
              <w:t>、NO</w:t>
            </w:r>
            <w:r>
              <w:rPr>
                <w:sz w:val="12"/>
              </w:rPr>
              <w:t>x</w:t>
            </w:r>
          </w:p>
        </w:tc>
        <w:tc>
          <w:tcPr>
            <w:tcW w:w="2700" w:type="dxa"/>
          </w:tcPr>
          <w:p>
            <w:pPr>
              <w:pStyle w:val="TableParagraph"/>
              <w:jc w:val="left"/>
              <w:rPr>
                <w:b/>
                <w:sz w:val="24"/>
              </w:rPr>
            </w:pPr>
          </w:p>
          <w:p>
            <w:pPr>
              <w:pStyle w:val="TableParagraph"/>
              <w:spacing w:before="158"/>
              <w:ind w:left="306" w:right="306"/>
              <w:rPr>
                <w:sz w:val="24"/>
              </w:rPr>
            </w:pPr>
            <w:r>
              <w:rPr>
                <w:sz w:val="24"/>
              </w:rPr>
              <w:t>15 米高排气筒排放</w:t>
            </w:r>
          </w:p>
        </w:tc>
        <w:tc>
          <w:tcPr>
            <w:tcW w:w="3254" w:type="dxa"/>
          </w:tcPr>
          <w:p>
            <w:pPr>
              <w:pStyle w:val="TableParagraph"/>
              <w:spacing w:line="362" w:lineRule="auto"/>
              <w:ind w:left="2" w:right="-15"/>
              <w:rPr>
                <w:sz w:val="24"/>
              </w:rPr>
            </w:pPr>
            <w:r>
              <w:rPr>
                <w:sz w:val="24"/>
              </w:rPr>
              <w:t>达到《锅炉大气污染物排放标</w:t>
            </w:r>
            <w:r>
              <w:rPr>
                <w:spacing w:val="-36"/>
                <w:sz w:val="24"/>
              </w:rPr>
              <w:t>准》</w:t>
            </w:r>
            <w:r>
              <w:rPr>
                <w:spacing w:val="-3"/>
                <w:sz w:val="24"/>
              </w:rPr>
              <w:t>（GB13271-2014）</w:t>
            </w:r>
            <w:r>
              <w:rPr>
                <w:spacing w:val="-30"/>
                <w:sz w:val="24"/>
              </w:rPr>
              <w:t>表 </w:t>
            </w:r>
            <w:r>
              <w:rPr>
                <w:sz w:val="24"/>
              </w:rPr>
              <w:t>2</w:t>
            </w:r>
            <w:r>
              <w:rPr>
                <w:spacing w:val="-20"/>
                <w:sz w:val="24"/>
              </w:rPr>
              <w:t> 燃气</w:t>
            </w:r>
          </w:p>
          <w:p>
            <w:pPr>
              <w:pStyle w:val="TableParagraph"/>
              <w:spacing w:before="5"/>
              <w:ind w:left="65" w:right="59"/>
              <w:rPr>
                <w:sz w:val="24"/>
              </w:rPr>
            </w:pPr>
            <w:r>
              <w:rPr>
                <w:sz w:val="24"/>
              </w:rPr>
              <w:t>锅炉排放浓度限值标志要求</w:t>
            </w:r>
          </w:p>
        </w:tc>
      </w:tr>
      <w:tr>
        <w:trPr>
          <w:trHeight w:val="1401" w:hRule="atLeast"/>
        </w:trPr>
        <w:tc>
          <w:tcPr>
            <w:tcW w:w="1603" w:type="dxa"/>
          </w:tcPr>
          <w:p>
            <w:pPr>
              <w:pStyle w:val="TableParagraph"/>
              <w:spacing w:before="2"/>
              <w:jc w:val="left"/>
              <w:rPr>
                <w:b/>
                <w:sz w:val="18"/>
              </w:rPr>
            </w:pPr>
          </w:p>
          <w:p>
            <w:pPr>
              <w:pStyle w:val="TableParagraph"/>
              <w:spacing w:line="364" w:lineRule="auto"/>
              <w:ind w:left="319" w:right="76" w:hanging="240"/>
              <w:jc w:val="left"/>
              <w:rPr>
                <w:sz w:val="24"/>
              </w:rPr>
            </w:pPr>
            <w:r>
              <w:rPr>
                <w:sz w:val="24"/>
              </w:rPr>
              <w:t>废废乙腈溶剂处理尾气</w:t>
            </w:r>
          </w:p>
        </w:tc>
        <w:tc>
          <w:tcPr>
            <w:tcW w:w="1416" w:type="dxa"/>
          </w:tcPr>
          <w:p>
            <w:pPr>
              <w:pStyle w:val="TableParagraph"/>
              <w:spacing w:before="2"/>
              <w:jc w:val="left"/>
              <w:rPr>
                <w:b/>
                <w:sz w:val="18"/>
              </w:rPr>
            </w:pPr>
          </w:p>
          <w:p>
            <w:pPr>
              <w:pStyle w:val="TableParagraph"/>
              <w:spacing w:line="364" w:lineRule="auto"/>
              <w:ind w:left="468" w:right="-44" w:hanging="466"/>
              <w:jc w:val="left"/>
              <w:rPr>
                <w:sz w:val="24"/>
              </w:rPr>
            </w:pPr>
            <w:r>
              <w:rPr>
                <w:sz w:val="24"/>
              </w:rPr>
              <w:t>乙腈、甲醇、丙酮</w:t>
            </w:r>
          </w:p>
        </w:tc>
        <w:tc>
          <w:tcPr>
            <w:tcW w:w="2700" w:type="dxa"/>
          </w:tcPr>
          <w:p>
            <w:pPr>
              <w:pStyle w:val="TableParagraph"/>
              <w:jc w:val="left"/>
              <w:rPr>
                <w:b/>
                <w:sz w:val="24"/>
              </w:rPr>
            </w:pPr>
          </w:p>
          <w:p>
            <w:pPr>
              <w:pStyle w:val="TableParagraph"/>
              <w:spacing w:before="158"/>
              <w:ind w:left="307" w:right="304"/>
              <w:rPr>
                <w:sz w:val="24"/>
              </w:rPr>
            </w:pPr>
            <w:r>
              <w:rPr>
                <w:sz w:val="24"/>
              </w:rPr>
              <w:t>深度冷凝+排气筒</w:t>
            </w:r>
          </w:p>
        </w:tc>
        <w:tc>
          <w:tcPr>
            <w:tcW w:w="3254" w:type="dxa"/>
          </w:tcPr>
          <w:p>
            <w:pPr>
              <w:pStyle w:val="TableParagraph"/>
              <w:spacing w:line="364" w:lineRule="auto"/>
              <w:ind w:left="67" w:right="59"/>
              <w:rPr>
                <w:sz w:val="24"/>
              </w:rPr>
            </w:pPr>
            <w:r>
              <w:rPr>
                <w:spacing w:val="-2"/>
                <w:sz w:val="24"/>
              </w:rPr>
              <w:t>《大气污染物综合排放标准》</w:t>
            </w:r>
            <w:r>
              <w:rPr>
                <w:sz w:val="24"/>
              </w:rPr>
              <w:t>(GB16297-1996)</w:t>
            </w:r>
            <w:r>
              <w:rPr>
                <w:spacing w:val="-30"/>
                <w:sz w:val="24"/>
              </w:rPr>
              <w:t>表 </w:t>
            </w:r>
            <w:r>
              <w:rPr>
                <w:sz w:val="24"/>
              </w:rPr>
              <w:t>2</w:t>
            </w:r>
            <w:r>
              <w:rPr>
                <w:spacing w:val="-16"/>
                <w:sz w:val="24"/>
              </w:rPr>
              <w:t> 中二级标</w:t>
            </w:r>
          </w:p>
          <w:p>
            <w:pPr>
              <w:pStyle w:val="TableParagraph"/>
              <w:spacing w:line="306" w:lineRule="exact"/>
              <w:ind w:left="65" w:right="59"/>
              <w:rPr>
                <w:sz w:val="24"/>
              </w:rPr>
            </w:pPr>
            <w:r>
              <w:rPr>
                <w:sz w:val="24"/>
              </w:rPr>
              <w:t>准的限值</w:t>
            </w:r>
          </w:p>
        </w:tc>
      </w:tr>
      <w:tr>
        <w:trPr>
          <w:trHeight w:val="1401" w:hRule="atLeast"/>
        </w:trPr>
        <w:tc>
          <w:tcPr>
            <w:tcW w:w="1603" w:type="dxa"/>
          </w:tcPr>
          <w:p>
            <w:pPr>
              <w:pStyle w:val="TableParagraph"/>
              <w:spacing w:before="2"/>
              <w:jc w:val="left"/>
              <w:rPr>
                <w:b/>
                <w:sz w:val="18"/>
              </w:rPr>
            </w:pPr>
          </w:p>
          <w:p>
            <w:pPr>
              <w:pStyle w:val="TableParagraph"/>
              <w:spacing w:line="362" w:lineRule="auto"/>
              <w:ind w:left="199" w:right="76" w:hanging="120"/>
              <w:jc w:val="left"/>
              <w:rPr>
                <w:sz w:val="24"/>
              </w:rPr>
            </w:pPr>
            <w:r>
              <w:rPr>
                <w:sz w:val="24"/>
              </w:rPr>
              <w:t>乙腈精馏工段产生的废气</w:t>
            </w:r>
          </w:p>
        </w:tc>
        <w:tc>
          <w:tcPr>
            <w:tcW w:w="1416" w:type="dxa"/>
          </w:tcPr>
          <w:p>
            <w:pPr>
              <w:pStyle w:val="TableParagraph"/>
              <w:jc w:val="left"/>
              <w:rPr>
                <w:b/>
                <w:sz w:val="24"/>
              </w:rPr>
            </w:pPr>
          </w:p>
          <w:p>
            <w:pPr>
              <w:pStyle w:val="TableParagraph"/>
              <w:spacing w:before="158"/>
              <w:ind w:left="108"/>
              <w:jc w:val="left"/>
              <w:rPr>
                <w:sz w:val="24"/>
              </w:rPr>
            </w:pPr>
            <w:r>
              <w:rPr>
                <w:sz w:val="24"/>
              </w:rPr>
              <w:t>乙腈、氨气</w:t>
            </w:r>
          </w:p>
        </w:tc>
        <w:tc>
          <w:tcPr>
            <w:tcW w:w="2700" w:type="dxa"/>
          </w:tcPr>
          <w:p>
            <w:pPr>
              <w:pStyle w:val="TableParagraph"/>
              <w:jc w:val="left"/>
              <w:rPr>
                <w:b/>
                <w:sz w:val="24"/>
              </w:rPr>
            </w:pPr>
          </w:p>
          <w:p>
            <w:pPr>
              <w:pStyle w:val="TableParagraph"/>
              <w:spacing w:before="158"/>
              <w:ind w:left="307" w:right="304"/>
              <w:rPr>
                <w:sz w:val="24"/>
              </w:rPr>
            </w:pPr>
            <w:r>
              <w:rPr>
                <w:sz w:val="24"/>
              </w:rPr>
              <w:t>冷凝吸收塔+排气筒</w:t>
            </w:r>
          </w:p>
        </w:tc>
        <w:tc>
          <w:tcPr>
            <w:tcW w:w="3254" w:type="dxa"/>
          </w:tcPr>
          <w:p>
            <w:pPr>
              <w:pStyle w:val="TableParagraph"/>
              <w:spacing w:line="362" w:lineRule="auto"/>
              <w:ind w:left="67" w:right="59"/>
              <w:rPr>
                <w:sz w:val="24"/>
              </w:rPr>
            </w:pPr>
            <w:r>
              <w:rPr>
                <w:spacing w:val="-2"/>
                <w:sz w:val="24"/>
              </w:rPr>
              <w:t>《大气污染物综合排放标准》</w:t>
            </w:r>
            <w:r>
              <w:rPr>
                <w:sz w:val="24"/>
              </w:rPr>
              <w:t>(GB16297-1996)</w:t>
            </w:r>
            <w:r>
              <w:rPr>
                <w:spacing w:val="-30"/>
                <w:sz w:val="24"/>
              </w:rPr>
              <w:t>表 </w:t>
            </w:r>
            <w:r>
              <w:rPr>
                <w:sz w:val="24"/>
              </w:rPr>
              <w:t>2</w:t>
            </w:r>
            <w:r>
              <w:rPr>
                <w:spacing w:val="-16"/>
                <w:sz w:val="24"/>
              </w:rPr>
              <w:t> 中二级标</w:t>
            </w:r>
          </w:p>
          <w:p>
            <w:pPr>
              <w:pStyle w:val="TableParagraph"/>
              <w:spacing w:before="5"/>
              <w:ind w:left="65" w:right="59"/>
              <w:rPr>
                <w:sz w:val="24"/>
              </w:rPr>
            </w:pPr>
            <w:r>
              <w:rPr>
                <w:sz w:val="24"/>
              </w:rPr>
              <w:t>准的限值</w:t>
            </w:r>
          </w:p>
        </w:tc>
      </w:tr>
    </w:tbl>
    <w:p>
      <w:pPr>
        <w:pStyle w:val="ListParagraph"/>
        <w:numPr>
          <w:ilvl w:val="2"/>
          <w:numId w:val="4"/>
        </w:numPr>
        <w:tabs>
          <w:tab w:pos="1478" w:val="left" w:leader="none"/>
        </w:tabs>
        <w:spacing w:line="240" w:lineRule="auto" w:before="0" w:after="0"/>
        <w:ind w:left="1477" w:right="0" w:hanging="776"/>
        <w:jc w:val="left"/>
        <w:rPr>
          <w:b/>
          <w:sz w:val="28"/>
        </w:rPr>
      </w:pPr>
      <w:r>
        <w:rPr>
          <w:b/>
          <w:sz w:val="28"/>
        </w:rPr>
        <w:t>固体废弃物</w:t>
      </w:r>
    </w:p>
    <w:p>
      <w:pPr>
        <w:pStyle w:val="BodyText"/>
        <w:spacing w:before="186"/>
        <w:ind w:left="980"/>
      </w:pPr>
      <w:r>
        <w:rPr/>
        <w:t>本项目固体废物产生及储运情况详见表 2-5-2。</w:t>
      </w:r>
    </w:p>
    <w:p>
      <w:pPr>
        <w:spacing w:before="186"/>
        <w:ind w:left="0" w:right="1" w:firstLine="0"/>
        <w:jc w:val="center"/>
        <w:rPr>
          <w:b/>
          <w:sz w:val="28"/>
        </w:rPr>
      </w:pPr>
      <w:r>
        <w:rPr>
          <w:b/>
          <w:sz w:val="28"/>
        </w:rPr>
        <w:t>表 2-5-2 主要固体废物危险性及储运情况汇总表</w:t>
      </w:r>
    </w:p>
    <w:p>
      <w:pPr>
        <w:pStyle w:val="BodyText"/>
        <w:spacing w:before="8"/>
        <w:rPr>
          <w:b/>
          <w:sz w:val="14"/>
        </w:rPr>
      </w:pPr>
    </w:p>
    <w:tbl>
      <w:tblPr>
        <w:tblW w:w="0" w:type="auto"/>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820"/>
        <w:gridCol w:w="1166"/>
        <w:gridCol w:w="962"/>
        <w:gridCol w:w="1005"/>
        <w:gridCol w:w="1072"/>
        <w:gridCol w:w="1658"/>
        <w:gridCol w:w="1526"/>
      </w:tblGrid>
      <w:tr>
        <w:trPr>
          <w:trHeight w:val="544" w:hRule="atLeast"/>
        </w:trPr>
        <w:tc>
          <w:tcPr>
            <w:tcW w:w="506" w:type="dxa"/>
          </w:tcPr>
          <w:p>
            <w:pPr>
              <w:pStyle w:val="TableParagraph"/>
              <w:spacing w:before="1"/>
              <w:ind w:left="146"/>
              <w:jc w:val="left"/>
              <w:rPr>
                <w:sz w:val="21"/>
              </w:rPr>
            </w:pPr>
            <w:r>
              <w:rPr>
                <w:w w:val="100"/>
                <w:sz w:val="21"/>
              </w:rPr>
              <w:t>序</w:t>
            </w:r>
          </w:p>
          <w:p>
            <w:pPr>
              <w:pStyle w:val="TableParagraph"/>
              <w:spacing w:line="252" w:lineRule="exact" w:before="2"/>
              <w:ind w:left="146"/>
              <w:jc w:val="left"/>
              <w:rPr>
                <w:sz w:val="21"/>
              </w:rPr>
            </w:pPr>
            <w:r>
              <w:rPr>
                <w:w w:val="100"/>
                <w:sz w:val="21"/>
              </w:rPr>
              <w:t>号</w:t>
            </w:r>
          </w:p>
        </w:tc>
        <w:tc>
          <w:tcPr>
            <w:tcW w:w="820" w:type="dxa"/>
          </w:tcPr>
          <w:p>
            <w:pPr>
              <w:pStyle w:val="TableParagraph"/>
              <w:spacing w:before="1"/>
              <w:ind w:left="199"/>
              <w:jc w:val="left"/>
              <w:rPr>
                <w:sz w:val="21"/>
              </w:rPr>
            </w:pPr>
            <w:r>
              <w:rPr>
                <w:sz w:val="21"/>
              </w:rPr>
              <w:t>固废</w:t>
            </w:r>
          </w:p>
          <w:p>
            <w:pPr>
              <w:pStyle w:val="TableParagraph"/>
              <w:spacing w:line="252" w:lineRule="exact" w:before="2"/>
              <w:ind w:left="199"/>
              <w:jc w:val="left"/>
              <w:rPr>
                <w:sz w:val="21"/>
              </w:rPr>
            </w:pPr>
            <w:r>
              <w:rPr>
                <w:sz w:val="21"/>
              </w:rPr>
              <w:t>名称</w:t>
            </w:r>
          </w:p>
        </w:tc>
        <w:tc>
          <w:tcPr>
            <w:tcW w:w="1166" w:type="dxa"/>
          </w:tcPr>
          <w:p>
            <w:pPr>
              <w:pStyle w:val="TableParagraph"/>
              <w:tabs>
                <w:tab w:pos="434" w:val="left" w:leader="none"/>
              </w:tabs>
              <w:spacing w:before="138"/>
              <w:ind w:left="12"/>
              <w:rPr>
                <w:sz w:val="21"/>
              </w:rPr>
            </w:pPr>
            <w:r>
              <w:rPr>
                <w:sz w:val="21"/>
              </w:rPr>
              <w:t>来</w:t>
              <w:tab/>
              <w:t>源</w:t>
            </w:r>
          </w:p>
        </w:tc>
        <w:tc>
          <w:tcPr>
            <w:tcW w:w="962" w:type="dxa"/>
          </w:tcPr>
          <w:p>
            <w:pPr>
              <w:pStyle w:val="TableParagraph"/>
              <w:spacing w:before="1"/>
              <w:ind w:left="146" w:right="136"/>
              <w:rPr>
                <w:sz w:val="21"/>
              </w:rPr>
            </w:pPr>
            <w:r>
              <w:rPr>
                <w:sz w:val="21"/>
              </w:rPr>
              <w:t>废物性</w:t>
            </w:r>
          </w:p>
          <w:p>
            <w:pPr>
              <w:pStyle w:val="TableParagraph"/>
              <w:spacing w:line="252" w:lineRule="exact" w:before="2"/>
              <w:ind w:left="10"/>
              <w:rPr>
                <w:sz w:val="21"/>
              </w:rPr>
            </w:pPr>
            <w:r>
              <w:rPr>
                <w:w w:val="100"/>
                <w:sz w:val="21"/>
              </w:rPr>
              <w:t>质</w:t>
            </w:r>
          </w:p>
        </w:tc>
        <w:tc>
          <w:tcPr>
            <w:tcW w:w="1005" w:type="dxa"/>
          </w:tcPr>
          <w:p>
            <w:pPr>
              <w:pStyle w:val="TableParagraph"/>
              <w:spacing w:before="1"/>
              <w:ind w:left="189"/>
              <w:jc w:val="left"/>
              <w:rPr>
                <w:sz w:val="21"/>
              </w:rPr>
            </w:pPr>
            <w:r>
              <w:rPr>
                <w:sz w:val="21"/>
              </w:rPr>
              <w:t>产生量</w:t>
            </w:r>
          </w:p>
          <w:p>
            <w:pPr>
              <w:pStyle w:val="TableParagraph"/>
              <w:spacing w:line="252" w:lineRule="exact" w:before="2"/>
              <w:ind w:left="189"/>
              <w:jc w:val="left"/>
              <w:rPr>
                <w:sz w:val="21"/>
              </w:rPr>
            </w:pPr>
            <w:r>
              <w:rPr>
                <w:sz w:val="21"/>
              </w:rPr>
              <w:t>（</w:t>
            </w:r>
            <w:r>
              <w:rPr>
                <w:rFonts w:ascii="Times New Roman" w:eastAsia="Times New Roman"/>
                <w:sz w:val="21"/>
              </w:rPr>
              <w:t>t/a</w:t>
            </w:r>
            <w:r>
              <w:rPr>
                <w:sz w:val="21"/>
              </w:rPr>
              <w:t>）</w:t>
            </w:r>
          </w:p>
        </w:tc>
        <w:tc>
          <w:tcPr>
            <w:tcW w:w="1072" w:type="dxa"/>
          </w:tcPr>
          <w:p>
            <w:pPr>
              <w:pStyle w:val="TableParagraph"/>
              <w:spacing w:before="138"/>
              <w:ind w:left="99" w:right="83"/>
              <w:rPr>
                <w:sz w:val="21"/>
              </w:rPr>
            </w:pPr>
            <w:r>
              <w:rPr>
                <w:sz w:val="21"/>
              </w:rPr>
              <w:t>危废类别</w:t>
            </w:r>
          </w:p>
        </w:tc>
        <w:tc>
          <w:tcPr>
            <w:tcW w:w="1658" w:type="dxa"/>
          </w:tcPr>
          <w:p>
            <w:pPr>
              <w:pStyle w:val="TableParagraph"/>
              <w:spacing w:before="138"/>
              <w:ind w:left="319" w:right="307"/>
              <w:rPr>
                <w:sz w:val="21"/>
              </w:rPr>
            </w:pPr>
            <w:r>
              <w:rPr>
                <w:sz w:val="21"/>
              </w:rPr>
              <w:t>危废代码</w:t>
            </w:r>
          </w:p>
        </w:tc>
        <w:tc>
          <w:tcPr>
            <w:tcW w:w="1526" w:type="dxa"/>
          </w:tcPr>
          <w:p>
            <w:pPr>
              <w:pStyle w:val="TableParagraph"/>
              <w:tabs>
                <w:tab w:pos="651" w:val="left" w:leader="none"/>
              </w:tabs>
              <w:spacing w:before="138"/>
              <w:ind w:left="20"/>
              <w:rPr>
                <w:sz w:val="21"/>
              </w:rPr>
            </w:pPr>
            <w:r>
              <w:rPr>
                <w:sz w:val="21"/>
              </w:rPr>
              <w:t>去</w:t>
              <w:tab/>
              <w:t>向</w:t>
            </w:r>
          </w:p>
        </w:tc>
      </w:tr>
      <w:tr>
        <w:trPr>
          <w:trHeight w:val="544" w:hRule="atLeast"/>
        </w:trPr>
        <w:tc>
          <w:tcPr>
            <w:tcW w:w="506" w:type="dxa"/>
          </w:tcPr>
          <w:p>
            <w:pPr>
              <w:pStyle w:val="TableParagraph"/>
              <w:spacing w:before="144"/>
              <w:ind w:left="7"/>
              <w:rPr>
                <w:rFonts w:ascii="Times New Roman"/>
                <w:sz w:val="21"/>
              </w:rPr>
            </w:pPr>
            <w:r>
              <w:rPr>
                <w:rFonts w:ascii="Times New Roman"/>
                <w:w w:val="100"/>
                <w:sz w:val="21"/>
              </w:rPr>
              <w:t>1</w:t>
            </w:r>
          </w:p>
        </w:tc>
        <w:tc>
          <w:tcPr>
            <w:tcW w:w="820" w:type="dxa"/>
          </w:tcPr>
          <w:p>
            <w:pPr>
              <w:pStyle w:val="TableParagraph"/>
              <w:spacing w:before="1"/>
              <w:ind w:left="199"/>
              <w:jc w:val="left"/>
              <w:rPr>
                <w:sz w:val="21"/>
              </w:rPr>
            </w:pPr>
            <w:r>
              <w:rPr>
                <w:sz w:val="21"/>
              </w:rPr>
              <w:t>生活</w:t>
            </w:r>
          </w:p>
          <w:p>
            <w:pPr>
              <w:pStyle w:val="TableParagraph"/>
              <w:spacing w:line="252" w:lineRule="exact" w:before="2"/>
              <w:ind w:left="199"/>
              <w:jc w:val="left"/>
              <w:rPr>
                <w:sz w:val="21"/>
              </w:rPr>
            </w:pPr>
            <w:r>
              <w:rPr>
                <w:sz w:val="21"/>
              </w:rPr>
              <w:t>垃圾</w:t>
            </w:r>
          </w:p>
        </w:tc>
        <w:tc>
          <w:tcPr>
            <w:tcW w:w="1166" w:type="dxa"/>
          </w:tcPr>
          <w:p>
            <w:pPr>
              <w:pStyle w:val="TableParagraph"/>
              <w:spacing w:before="138"/>
              <w:ind w:left="10"/>
              <w:rPr>
                <w:sz w:val="21"/>
              </w:rPr>
            </w:pPr>
            <w:r>
              <w:rPr>
                <w:sz w:val="21"/>
              </w:rPr>
              <w:t>工作人员</w:t>
            </w:r>
          </w:p>
        </w:tc>
        <w:tc>
          <w:tcPr>
            <w:tcW w:w="962" w:type="dxa"/>
          </w:tcPr>
          <w:p>
            <w:pPr>
              <w:pStyle w:val="TableParagraph"/>
              <w:spacing w:before="1"/>
              <w:ind w:left="146" w:right="136"/>
              <w:rPr>
                <w:sz w:val="21"/>
              </w:rPr>
            </w:pPr>
            <w:r>
              <w:rPr>
                <w:sz w:val="21"/>
              </w:rPr>
              <w:t>一般固</w:t>
            </w:r>
          </w:p>
          <w:p>
            <w:pPr>
              <w:pStyle w:val="TableParagraph"/>
              <w:spacing w:line="252" w:lineRule="exact" w:before="2"/>
              <w:ind w:left="10"/>
              <w:rPr>
                <w:sz w:val="21"/>
              </w:rPr>
            </w:pPr>
            <w:r>
              <w:rPr>
                <w:w w:val="100"/>
                <w:sz w:val="21"/>
              </w:rPr>
              <w:t>废</w:t>
            </w:r>
          </w:p>
        </w:tc>
        <w:tc>
          <w:tcPr>
            <w:tcW w:w="1005" w:type="dxa"/>
          </w:tcPr>
          <w:p>
            <w:pPr>
              <w:pStyle w:val="TableParagraph"/>
              <w:spacing w:before="144"/>
              <w:ind w:left="194" w:right="182"/>
              <w:rPr>
                <w:rFonts w:ascii="Times New Roman"/>
                <w:sz w:val="21"/>
              </w:rPr>
            </w:pPr>
            <w:r>
              <w:rPr>
                <w:rFonts w:ascii="Times New Roman"/>
                <w:sz w:val="21"/>
              </w:rPr>
              <w:t>3.75</w:t>
            </w:r>
          </w:p>
        </w:tc>
        <w:tc>
          <w:tcPr>
            <w:tcW w:w="1072" w:type="dxa"/>
          </w:tcPr>
          <w:p>
            <w:pPr>
              <w:pStyle w:val="TableParagraph"/>
              <w:spacing w:before="144"/>
              <w:ind w:left="99" w:right="80"/>
              <w:rPr>
                <w:rFonts w:ascii="Times New Roman"/>
                <w:sz w:val="21"/>
              </w:rPr>
            </w:pPr>
            <w:r>
              <w:rPr>
                <w:rFonts w:ascii="Times New Roman"/>
                <w:sz w:val="21"/>
              </w:rPr>
              <w:t>--</w:t>
            </w:r>
          </w:p>
        </w:tc>
        <w:tc>
          <w:tcPr>
            <w:tcW w:w="1658" w:type="dxa"/>
          </w:tcPr>
          <w:p>
            <w:pPr>
              <w:pStyle w:val="TableParagraph"/>
              <w:spacing w:before="144"/>
              <w:ind w:left="321" w:right="305"/>
              <w:rPr>
                <w:rFonts w:ascii="Times New Roman"/>
                <w:sz w:val="21"/>
              </w:rPr>
            </w:pPr>
            <w:r>
              <w:rPr>
                <w:rFonts w:ascii="Times New Roman"/>
                <w:sz w:val="21"/>
              </w:rPr>
              <w:t>--</w:t>
            </w:r>
          </w:p>
        </w:tc>
        <w:tc>
          <w:tcPr>
            <w:tcW w:w="1526" w:type="dxa"/>
          </w:tcPr>
          <w:p>
            <w:pPr>
              <w:pStyle w:val="TableParagraph"/>
              <w:spacing w:before="138"/>
              <w:ind w:left="17"/>
              <w:rPr>
                <w:sz w:val="21"/>
              </w:rPr>
            </w:pPr>
            <w:r>
              <w:rPr>
                <w:sz w:val="21"/>
              </w:rPr>
              <w:t>环卫部门处理</w:t>
            </w:r>
          </w:p>
        </w:tc>
      </w:tr>
      <w:tr>
        <w:trPr>
          <w:trHeight w:val="544" w:hRule="atLeast"/>
        </w:trPr>
        <w:tc>
          <w:tcPr>
            <w:tcW w:w="506" w:type="dxa"/>
          </w:tcPr>
          <w:p>
            <w:pPr>
              <w:pStyle w:val="TableParagraph"/>
              <w:spacing w:before="144"/>
              <w:ind w:left="7"/>
              <w:rPr>
                <w:rFonts w:ascii="Times New Roman"/>
                <w:sz w:val="21"/>
              </w:rPr>
            </w:pPr>
            <w:r>
              <w:rPr>
                <w:rFonts w:ascii="Times New Roman"/>
                <w:w w:val="100"/>
                <w:sz w:val="21"/>
              </w:rPr>
              <w:t>2</w:t>
            </w:r>
          </w:p>
        </w:tc>
        <w:tc>
          <w:tcPr>
            <w:tcW w:w="820" w:type="dxa"/>
          </w:tcPr>
          <w:p>
            <w:pPr>
              <w:pStyle w:val="TableParagraph"/>
              <w:spacing w:before="138"/>
              <w:ind w:left="180" w:right="169"/>
              <w:rPr>
                <w:sz w:val="21"/>
              </w:rPr>
            </w:pPr>
            <w:r>
              <w:rPr>
                <w:sz w:val="21"/>
              </w:rPr>
              <w:t>污泥</w:t>
            </w:r>
          </w:p>
        </w:tc>
        <w:tc>
          <w:tcPr>
            <w:tcW w:w="1166" w:type="dxa"/>
          </w:tcPr>
          <w:p>
            <w:pPr>
              <w:pStyle w:val="TableParagraph"/>
              <w:spacing w:before="1"/>
              <w:ind w:left="15"/>
              <w:rPr>
                <w:sz w:val="21"/>
              </w:rPr>
            </w:pPr>
            <w:r>
              <w:rPr>
                <w:sz w:val="21"/>
              </w:rPr>
              <w:t>污水处理</w:t>
            </w:r>
          </w:p>
          <w:p>
            <w:pPr>
              <w:pStyle w:val="TableParagraph"/>
              <w:spacing w:line="252" w:lineRule="exact" w:before="2"/>
              <w:ind w:left="12"/>
              <w:rPr>
                <w:sz w:val="21"/>
              </w:rPr>
            </w:pPr>
            <w:r>
              <w:rPr>
                <w:w w:val="100"/>
                <w:sz w:val="21"/>
              </w:rPr>
              <w:t>站</w:t>
            </w:r>
          </w:p>
        </w:tc>
        <w:tc>
          <w:tcPr>
            <w:tcW w:w="962" w:type="dxa"/>
          </w:tcPr>
          <w:p>
            <w:pPr>
              <w:pStyle w:val="TableParagraph"/>
              <w:spacing w:before="1"/>
              <w:ind w:left="146" w:right="136"/>
              <w:rPr>
                <w:sz w:val="21"/>
              </w:rPr>
            </w:pPr>
            <w:r>
              <w:rPr>
                <w:sz w:val="21"/>
              </w:rPr>
              <w:t>危险废</w:t>
            </w:r>
          </w:p>
          <w:p>
            <w:pPr>
              <w:pStyle w:val="TableParagraph"/>
              <w:spacing w:line="252" w:lineRule="exact" w:before="2"/>
              <w:ind w:left="10"/>
              <w:rPr>
                <w:sz w:val="21"/>
              </w:rPr>
            </w:pPr>
            <w:r>
              <w:rPr>
                <w:w w:val="100"/>
                <w:sz w:val="21"/>
              </w:rPr>
              <w:t>物</w:t>
            </w:r>
          </w:p>
        </w:tc>
        <w:tc>
          <w:tcPr>
            <w:tcW w:w="1005" w:type="dxa"/>
          </w:tcPr>
          <w:p>
            <w:pPr>
              <w:pStyle w:val="TableParagraph"/>
              <w:spacing w:before="144"/>
              <w:ind w:left="12"/>
              <w:rPr>
                <w:rFonts w:ascii="Times New Roman"/>
                <w:sz w:val="21"/>
              </w:rPr>
            </w:pPr>
            <w:r>
              <w:rPr>
                <w:rFonts w:ascii="Times New Roman"/>
                <w:w w:val="100"/>
                <w:sz w:val="21"/>
              </w:rPr>
              <w:t>3</w:t>
            </w:r>
          </w:p>
        </w:tc>
        <w:tc>
          <w:tcPr>
            <w:tcW w:w="1072" w:type="dxa"/>
          </w:tcPr>
          <w:p>
            <w:pPr>
              <w:pStyle w:val="TableParagraph"/>
              <w:spacing w:before="144"/>
              <w:ind w:left="96" w:right="83"/>
              <w:rPr>
                <w:rFonts w:ascii="Times New Roman"/>
                <w:sz w:val="21"/>
              </w:rPr>
            </w:pPr>
            <w:r>
              <w:rPr>
                <w:rFonts w:ascii="Times New Roman"/>
                <w:sz w:val="21"/>
              </w:rPr>
              <w:t>HW42</w:t>
            </w:r>
          </w:p>
        </w:tc>
        <w:tc>
          <w:tcPr>
            <w:tcW w:w="1658" w:type="dxa"/>
          </w:tcPr>
          <w:p>
            <w:pPr>
              <w:pStyle w:val="TableParagraph"/>
              <w:spacing w:before="144"/>
              <w:ind w:left="321" w:right="307"/>
              <w:rPr>
                <w:rFonts w:ascii="Times New Roman"/>
                <w:sz w:val="21"/>
              </w:rPr>
            </w:pPr>
            <w:r>
              <w:rPr>
                <w:rFonts w:ascii="Times New Roman"/>
                <w:sz w:val="21"/>
              </w:rPr>
              <w:t>261-076-42</w:t>
            </w:r>
          </w:p>
        </w:tc>
        <w:tc>
          <w:tcPr>
            <w:tcW w:w="1526" w:type="dxa"/>
            <w:vMerge w:val="restart"/>
          </w:tcPr>
          <w:p>
            <w:pPr>
              <w:pStyle w:val="TableParagraph"/>
              <w:spacing w:line="242" w:lineRule="auto" w:before="1"/>
              <w:ind w:left="135" w:right="113" w:firstLine="2"/>
              <w:jc w:val="both"/>
              <w:rPr>
                <w:sz w:val="21"/>
              </w:rPr>
            </w:pPr>
            <w:r>
              <w:rPr>
                <w:sz w:val="21"/>
              </w:rPr>
              <w:t>委托有危废处理资质的单位进行处理处置</w:t>
            </w:r>
          </w:p>
        </w:tc>
      </w:tr>
      <w:tr>
        <w:trPr>
          <w:trHeight w:val="544" w:hRule="atLeast"/>
        </w:trPr>
        <w:tc>
          <w:tcPr>
            <w:tcW w:w="506" w:type="dxa"/>
          </w:tcPr>
          <w:p>
            <w:pPr>
              <w:pStyle w:val="TableParagraph"/>
              <w:spacing w:before="144"/>
              <w:ind w:left="7"/>
              <w:rPr>
                <w:rFonts w:ascii="Times New Roman"/>
                <w:sz w:val="21"/>
              </w:rPr>
            </w:pPr>
            <w:r>
              <w:rPr>
                <w:rFonts w:ascii="Times New Roman"/>
                <w:w w:val="100"/>
                <w:sz w:val="21"/>
              </w:rPr>
              <w:t>3</w:t>
            </w:r>
          </w:p>
        </w:tc>
        <w:tc>
          <w:tcPr>
            <w:tcW w:w="820" w:type="dxa"/>
          </w:tcPr>
          <w:p>
            <w:pPr>
              <w:pStyle w:val="TableParagraph"/>
              <w:spacing w:before="1"/>
              <w:ind w:left="199"/>
              <w:jc w:val="left"/>
              <w:rPr>
                <w:sz w:val="21"/>
              </w:rPr>
            </w:pPr>
            <w:r>
              <w:rPr>
                <w:sz w:val="21"/>
              </w:rPr>
              <w:t>废催</w:t>
            </w:r>
          </w:p>
          <w:p>
            <w:pPr>
              <w:pStyle w:val="TableParagraph"/>
              <w:spacing w:line="252" w:lineRule="exact" w:before="2"/>
              <w:ind w:left="199"/>
              <w:jc w:val="left"/>
              <w:rPr>
                <w:sz w:val="21"/>
              </w:rPr>
            </w:pPr>
            <w:r>
              <w:rPr>
                <w:sz w:val="21"/>
              </w:rPr>
              <w:t>化剂</w:t>
            </w:r>
          </w:p>
        </w:tc>
        <w:tc>
          <w:tcPr>
            <w:tcW w:w="1166" w:type="dxa"/>
          </w:tcPr>
          <w:p>
            <w:pPr>
              <w:pStyle w:val="TableParagraph"/>
              <w:spacing w:before="138"/>
              <w:ind w:left="10"/>
              <w:rPr>
                <w:sz w:val="21"/>
              </w:rPr>
            </w:pPr>
            <w:r>
              <w:rPr>
                <w:sz w:val="21"/>
              </w:rPr>
              <w:t>反应过程</w:t>
            </w:r>
          </w:p>
        </w:tc>
        <w:tc>
          <w:tcPr>
            <w:tcW w:w="962" w:type="dxa"/>
          </w:tcPr>
          <w:p>
            <w:pPr>
              <w:pStyle w:val="TableParagraph"/>
              <w:spacing w:before="1"/>
              <w:ind w:left="146" w:right="136"/>
              <w:rPr>
                <w:sz w:val="21"/>
              </w:rPr>
            </w:pPr>
            <w:r>
              <w:rPr>
                <w:sz w:val="21"/>
              </w:rPr>
              <w:t>危险废</w:t>
            </w:r>
          </w:p>
          <w:p>
            <w:pPr>
              <w:pStyle w:val="TableParagraph"/>
              <w:spacing w:line="252" w:lineRule="exact" w:before="2"/>
              <w:ind w:left="10"/>
              <w:rPr>
                <w:sz w:val="21"/>
              </w:rPr>
            </w:pPr>
            <w:r>
              <w:rPr>
                <w:w w:val="100"/>
                <w:sz w:val="21"/>
              </w:rPr>
              <w:t>物</w:t>
            </w:r>
          </w:p>
        </w:tc>
        <w:tc>
          <w:tcPr>
            <w:tcW w:w="1005" w:type="dxa"/>
          </w:tcPr>
          <w:p>
            <w:pPr>
              <w:pStyle w:val="TableParagraph"/>
              <w:spacing w:before="144"/>
              <w:ind w:left="12"/>
              <w:rPr>
                <w:rFonts w:ascii="Times New Roman"/>
                <w:sz w:val="21"/>
              </w:rPr>
            </w:pPr>
            <w:r>
              <w:rPr>
                <w:rFonts w:ascii="Times New Roman"/>
                <w:w w:val="100"/>
                <w:sz w:val="21"/>
              </w:rPr>
              <w:t>9</w:t>
            </w:r>
          </w:p>
        </w:tc>
        <w:tc>
          <w:tcPr>
            <w:tcW w:w="1072" w:type="dxa"/>
          </w:tcPr>
          <w:p>
            <w:pPr>
              <w:pStyle w:val="TableParagraph"/>
              <w:spacing w:before="144"/>
              <w:ind w:left="96" w:right="83"/>
              <w:rPr>
                <w:rFonts w:ascii="Times New Roman"/>
                <w:sz w:val="21"/>
              </w:rPr>
            </w:pPr>
            <w:r>
              <w:rPr>
                <w:rFonts w:ascii="Times New Roman"/>
                <w:sz w:val="21"/>
              </w:rPr>
              <w:t>HW06</w:t>
            </w:r>
          </w:p>
        </w:tc>
        <w:tc>
          <w:tcPr>
            <w:tcW w:w="1658" w:type="dxa"/>
          </w:tcPr>
          <w:p>
            <w:pPr>
              <w:pStyle w:val="TableParagraph"/>
              <w:spacing w:before="144"/>
              <w:ind w:left="321" w:right="307"/>
              <w:rPr>
                <w:rFonts w:ascii="Times New Roman"/>
                <w:sz w:val="21"/>
              </w:rPr>
            </w:pPr>
            <w:r>
              <w:rPr>
                <w:rFonts w:ascii="Times New Roman"/>
                <w:sz w:val="21"/>
              </w:rPr>
              <w:t>261-005-06</w:t>
            </w:r>
          </w:p>
        </w:tc>
        <w:tc>
          <w:tcPr>
            <w:tcW w:w="1526" w:type="dxa"/>
            <w:vMerge/>
            <w:tcBorders>
              <w:top w:val="nil"/>
            </w:tcBorders>
          </w:tcPr>
          <w:p>
            <w:pPr>
              <w:rPr>
                <w:sz w:val="2"/>
                <w:szCs w:val="2"/>
              </w:rPr>
            </w:pPr>
          </w:p>
        </w:tc>
      </w:tr>
      <w:tr>
        <w:trPr>
          <w:trHeight w:val="544" w:hRule="atLeast"/>
        </w:trPr>
        <w:tc>
          <w:tcPr>
            <w:tcW w:w="506" w:type="dxa"/>
          </w:tcPr>
          <w:p>
            <w:pPr>
              <w:pStyle w:val="TableParagraph"/>
              <w:spacing w:before="144"/>
              <w:ind w:left="7"/>
              <w:rPr>
                <w:rFonts w:ascii="Times New Roman"/>
                <w:sz w:val="21"/>
              </w:rPr>
            </w:pPr>
            <w:r>
              <w:rPr>
                <w:rFonts w:ascii="Times New Roman"/>
                <w:w w:val="100"/>
                <w:sz w:val="21"/>
              </w:rPr>
              <w:t>4</w:t>
            </w:r>
          </w:p>
        </w:tc>
        <w:tc>
          <w:tcPr>
            <w:tcW w:w="820" w:type="dxa"/>
          </w:tcPr>
          <w:p>
            <w:pPr>
              <w:pStyle w:val="TableParagraph"/>
              <w:spacing w:before="1"/>
              <w:ind w:left="199"/>
              <w:jc w:val="left"/>
              <w:rPr>
                <w:sz w:val="21"/>
              </w:rPr>
            </w:pPr>
            <w:r>
              <w:rPr>
                <w:sz w:val="21"/>
              </w:rPr>
              <w:t>废活</w:t>
            </w:r>
          </w:p>
          <w:p>
            <w:pPr>
              <w:pStyle w:val="TableParagraph"/>
              <w:spacing w:line="252" w:lineRule="exact" w:before="2"/>
              <w:ind w:left="199"/>
              <w:jc w:val="left"/>
              <w:rPr>
                <w:sz w:val="21"/>
              </w:rPr>
            </w:pPr>
            <w:r>
              <w:rPr>
                <w:sz w:val="21"/>
              </w:rPr>
              <w:t>性炭</w:t>
            </w:r>
          </w:p>
        </w:tc>
        <w:tc>
          <w:tcPr>
            <w:tcW w:w="1166" w:type="dxa"/>
          </w:tcPr>
          <w:p>
            <w:pPr>
              <w:pStyle w:val="TableParagraph"/>
              <w:spacing w:before="1"/>
              <w:ind w:left="164"/>
              <w:jc w:val="left"/>
              <w:rPr>
                <w:sz w:val="21"/>
              </w:rPr>
            </w:pPr>
            <w:r>
              <w:rPr>
                <w:sz w:val="21"/>
              </w:rPr>
              <w:t>生产废水</w:t>
            </w:r>
          </w:p>
          <w:p>
            <w:pPr>
              <w:pStyle w:val="TableParagraph"/>
              <w:spacing w:line="252" w:lineRule="exact" w:before="2"/>
              <w:ind w:left="267"/>
              <w:jc w:val="left"/>
              <w:rPr>
                <w:sz w:val="21"/>
              </w:rPr>
            </w:pPr>
            <w:r>
              <w:rPr>
                <w:sz w:val="21"/>
              </w:rPr>
              <w:t>预处理</w:t>
            </w:r>
          </w:p>
        </w:tc>
        <w:tc>
          <w:tcPr>
            <w:tcW w:w="962" w:type="dxa"/>
          </w:tcPr>
          <w:p>
            <w:pPr>
              <w:pStyle w:val="TableParagraph"/>
              <w:spacing w:before="1"/>
              <w:ind w:left="146" w:right="136"/>
              <w:rPr>
                <w:sz w:val="21"/>
              </w:rPr>
            </w:pPr>
            <w:r>
              <w:rPr>
                <w:sz w:val="21"/>
              </w:rPr>
              <w:t>危险废</w:t>
            </w:r>
          </w:p>
          <w:p>
            <w:pPr>
              <w:pStyle w:val="TableParagraph"/>
              <w:spacing w:line="252" w:lineRule="exact" w:before="2"/>
              <w:ind w:left="10"/>
              <w:rPr>
                <w:sz w:val="21"/>
              </w:rPr>
            </w:pPr>
            <w:r>
              <w:rPr>
                <w:w w:val="100"/>
                <w:sz w:val="21"/>
              </w:rPr>
              <w:t>物</w:t>
            </w:r>
          </w:p>
        </w:tc>
        <w:tc>
          <w:tcPr>
            <w:tcW w:w="1005" w:type="dxa"/>
          </w:tcPr>
          <w:p>
            <w:pPr>
              <w:pStyle w:val="TableParagraph"/>
              <w:spacing w:before="144"/>
              <w:ind w:left="194" w:right="182"/>
              <w:rPr>
                <w:rFonts w:ascii="Times New Roman"/>
                <w:sz w:val="21"/>
              </w:rPr>
            </w:pPr>
            <w:r>
              <w:rPr>
                <w:rFonts w:ascii="Times New Roman"/>
                <w:sz w:val="21"/>
              </w:rPr>
              <w:t>1.7</w:t>
            </w:r>
          </w:p>
        </w:tc>
        <w:tc>
          <w:tcPr>
            <w:tcW w:w="1072" w:type="dxa"/>
          </w:tcPr>
          <w:p>
            <w:pPr>
              <w:pStyle w:val="TableParagraph"/>
              <w:spacing w:before="144"/>
              <w:ind w:left="96" w:right="83"/>
              <w:rPr>
                <w:rFonts w:ascii="Times New Roman"/>
                <w:sz w:val="21"/>
              </w:rPr>
            </w:pPr>
            <w:r>
              <w:rPr>
                <w:rFonts w:ascii="Times New Roman"/>
                <w:sz w:val="21"/>
              </w:rPr>
              <w:t>HW06</w:t>
            </w:r>
          </w:p>
        </w:tc>
        <w:tc>
          <w:tcPr>
            <w:tcW w:w="1658" w:type="dxa"/>
          </w:tcPr>
          <w:p>
            <w:pPr>
              <w:pStyle w:val="TableParagraph"/>
              <w:spacing w:before="144"/>
              <w:ind w:left="321" w:right="307"/>
              <w:rPr>
                <w:rFonts w:ascii="Times New Roman"/>
                <w:sz w:val="21"/>
              </w:rPr>
            </w:pPr>
            <w:r>
              <w:rPr>
                <w:rFonts w:ascii="Times New Roman"/>
                <w:sz w:val="21"/>
              </w:rPr>
              <w:t>261-005-06</w:t>
            </w:r>
          </w:p>
        </w:tc>
        <w:tc>
          <w:tcPr>
            <w:tcW w:w="1526" w:type="dxa"/>
            <w:vMerge/>
            <w:tcBorders>
              <w:top w:val="nil"/>
            </w:tcBorders>
          </w:tcPr>
          <w:p>
            <w:pPr>
              <w:rPr>
                <w:sz w:val="2"/>
                <w:szCs w:val="2"/>
              </w:rPr>
            </w:pPr>
          </w:p>
        </w:tc>
      </w:tr>
      <w:tr>
        <w:trPr>
          <w:trHeight w:val="285" w:hRule="atLeast"/>
        </w:trPr>
        <w:tc>
          <w:tcPr>
            <w:tcW w:w="506" w:type="dxa"/>
          </w:tcPr>
          <w:p>
            <w:pPr>
              <w:pStyle w:val="TableParagraph"/>
              <w:spacing w:line="130" w:lineRule="exact" w:before="135"/>
              <w:ind w:left="7"/>
              <w:rPr>
                <w:rFonts w:ascii="Times New Roman"/>
                <w:sz w:val="21"/>
              </w:rPr>
            </w:pPr>
            <w:r>
              <w:rPr>
                <w:rFonts w:ascii="Times New Roman"/>
                <w:w w:val="100"/>
                <w:sz w:val="21"/>
              </w:rPr>
              <w:t>5</w:t>
            </w:r>
          </w:p>
        </w:tc>
        <w:tc>
          <w:tcPr>
            <w:tcW w:w="820" w:type="dxa"/>
          </w:tcPr>
          <w:p>
            <w:pPr>
              <w:pStyle w:val="TableParagraph"/>
              <w:spacing w:line="123" w:lineRule="exact" w:before="142"/>
              <w:ind w:left="180" w:right="169"/>
              <w:rPr>
                <w:sz w:val="21"/>
              </w:rPr>
            </w:pPr>
            <w:r>
              <w:rPr>
                <w:sz w:val="21"/>
              </w:rPr>
              <w:t>废熔</w:t>
            </w:r>
          </w:p>
        </w:tc>
        <w:tc>
          <w:tcPr>
            <w:tcW w:w="1166" w:type="dxa"/>
          </w:tcPr>
          <w:p>
            <w:pPr>
              <w:pStyle w:val="TableParagraph"/>
              <w:spacing w:line="123" w:lineRule="exact" w:before="142"/>
              <w:ind w:left="12"/>
              <w:rPr>
                <w:sz w:val="21"/>
              </w:rPr>
            </w:pPr>
            <w:r>
              <w:rPr>
                <w:sz w:val="21"/>
              </w:rPr>
              <w:t>熔盐炉</w:t>
            </w:r>
          </w:p>
        </w:tc>
        <w:tc>
          <w:tcPr>
            <w:tcW w:w="962" w:type="dxa"/>
          </w:tcPr>
          <w:p>
            <w:pPr>
              <w:pStyle w:val="TableParagraph"/>
              <w:spacing w:line="123" w:lineRule="exact" w:before="142"/>
              <w:ind w:left="164"/>
              <w:jc w:val="left"/>
              <w:rPr>
                <w:sz w:val="21"/>
              </w:rPr>
            </w:pPr>
            <w:r>
              <w:rPr>
                <w:sz w:val="21"/>
              </w:rPr>
              <w:t>危险废</w:t>
            </w:r>
          </w:p>
        </w:tc>
        <w:tc>
          <w:tcPr>
            <w:tcW w:w="1005" w:type="dxa"/>
          </w:tcPr>
          <w:p>
            <w:pPr>
              <w:pStyle w:val="TableParagraph"/>
              <w:spacing w:line="130" w:lineRule="exact" w:before="135"/>
              <w:ind w:left="194" w:right="182"/>
              <w:rPr>
                <w:rFonts w:ascii="Times New Roman"/>
                <w:sz w:val="21"/>
              </w:rPr>
            </w:pPr>
            <w:r>
              <w:rPr>
                <w:rFonts w:ascii="Times New Roman"/>
                <w:sz w:val="21"/>
              </w:rPr>
              <w:t>0.5</w:t>
            </w:r>
          </w:p>
        </w:tc>
        <w:tc>
          <w:tcPr>
            <w:tcW w:w="1072" w:type="dxa"/>
          </w:tcPr>
          <w:p>
            <w:pPr>
              <w:pStyle w:val="TableParagraph"/>
              <w:spacing w:line="130" w:lineRule="exact" w:before="135"/>
              <w:ind w:left="96" w:right="83"/>
              <w:rPr>
                <w:rFonts w:ascii="Times New Roman"/>
                <w:sz w:val="21"/>
              </w:rPr>
            </w:pPr>
            <w:r>
              <w:rPr>
                <w:rFonts w:ascii="Times New Roman"/>
                <w:sz w:val="21"/>
              </w:rPr>
              <w:t>HW06</w:t>
            </w:r>
          </w:p>
        </w:tc>
        <w:tc>
          <w:tcPr>
            <w:tcW w:w="1658" w:type="dxa"/>
          </w:tcPr>
          <w:p>
            <w:pPr>
              <w:pStyle w:val="TableParagraph"/>
              <w:spacing w:line="130" w:lineRule="exact" w:before="135"/>
              <w:ind w:left="321" w:right="307"/>
              <w:rPr>
                <w:rFonts w:ascii="Times New Roman"/>
                <w:sz w:val="21"/>
              </w:rPr>
            </w:pPr>
            <w:r>
              <w:rPr>
                <w:rFonts w:ascii="Times New Roman"/>
                <w:sz w:val="21"/>
              </w:rPr>
              <w:t>261-005-06</w:t>
            </w:r>
          </w:p>
        </w:tc>
        <w:tc>
          <w:tcPr>
            <w:tcW w:w="1526" w:type="dxa"/>
            <w:vMerge/>
            <w:tcBorders>
              <w:top w:val="nil"/>
            </w:tcBorders>
          </w:tcPr>
          <w:p>
            <w:pPr>
              <w:rPr>
                <w:sz w:val="2"/>
                <w:szCs w:val="2"/>
              </w:rPr>
            </w:pPr>
          </w:p>
        </w:tc>
      </w:tr>
    </w:tbl>
    <w:p>
      <w:pPr>
        <w:spacing w:after="0"/>
        <w:rPr>
          <w:sz w:val="2"/>
          <w:szCs w:val="2"/>
        </w:rPr>
        <w:sectPr>
          <w:pgSz w:w="11910" w:h="16840"/>
          <w:pgMar w:header="0" w:footer="984" w:top="1580" w:bottom="1180" w:left="1280" w:right="1280"/>
        </w:sectPr>
      </w:pPr>
    </w:p>
    <w:p>
      <w:pPr>
        <w:pStyle w:val="BodyText"/>
        <w:spacing w:before="1"/>
        <w:rPr>
          <w:b/>
          <w:sz w:val="8"/>
        </w:rPr>
      </w:pPr>
    </w:p>
    <w:tbl>
      <w:tblPr>
        <w:tblW w:w="0" w:type="auto"/>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820"/>
        <w:gridCol w:w="1166"/>
        <w:gridCol w:w="962"/>
        <w:gridCol w:w="1005"/>
        <w:gridCol w:w="1072"/>
        <w:gridCol w:w="1658"/>
        <w:gridCol w:w="1526"/>
      </w:tblGrid>
      <w:tr>
        <w:trPr>
          <w:trHeight w:val="282" w:hRule="atLeast"/>
        </w:trPr>
        <w:tc>
          <w:tcPr>
            <w:tcW w:w="506" w:type="dxa"/>
          </w:tcPr>
          <w:p>
            <w:pPr>
              <w:pStyle w:val="TableParagraph"/>
              <w:jc w:val="left"/>
              <w:rPr>
                <w:rFonts w:ascii="Times New Roman"/>
                <w:sz w:val="20"/>
              </w:rPr>
            </w:pPr>
          </w:p>
        </w:tc>
        <w:tc>
          <w:tcPr>
            <w:tcW w:w="820" w:type="dxa"/>
          </w:tcPr>
          <w:p>
            <w:pPr>
              <w:pStyle w:val="TableParagraph"/>
              <w:spacing w:line="262" w:lineRule="exact" w:before="1"/>
              <w:ind w:left="11"/>
              <w:rPr>
                <w:sz w:val="21"/>
              </w:rPr>
            </w:pPr>
            <w:r>
              <w:rPr>
                <w:w w:val="100"/>
                <w:sz w:val="21"/>
              </w:rPr>
              <w:t>盐</w:t>
            </w:r>
          </w:p>
        </w:tc>
        <w:tc>
          <w:tcPr>
            <w:tcW w:w="1166" w:type="dxa"/>
          </w:tcPr>
          <w:p>
            <w:pPr>
              <w:pStyle w:val="TableParagraph"/>
              <w:jc w:val="left"/>
              <w:rPr>
                <w:rFonts w:ascii="Times New Roman"/>
                <w:sz w:val="20"/>
              </w:rPr>
            </w:pPr>
          </w:p>
        </w:tc>
        <w:tc>
          <w:tcPr>
            <w:tcW w:w="962" w:type="dxa"/>
          </w:tcPr>
          <w:p>
            <w:pPr>
              <w:pStyle w:val="TableParagraph"/>
              <w:spacing w:line="262" w:lineRule="exact" w:before="1"/>
              <w:ind w:left="10"/>
              <w:rPr>
                <w:sz w:val="21"/>
              </w:rPr>
            </w:pPr>
            <w:r>
              <w:rPr>
                <w:w w:val="100"/>
                <w:sz w:val="21"/>
              </w:rPr>
              <w:t>物</w:t>
            </w:r>
          </w:p>
        </w:tc>
        <w:tc>
          <w:tcPr>
            <w:tcW w:w="1005" w:type="dxa"/>
          </w:tcPr>
          <w:p>
            <w:pPr>
              <w:pStyle w:val="TableParagraph"/>
              <w:jc w:val="left"/>
              <w:rPr>
                <w:rFonts w:ascii="Times New Roman"/>
                <w:sz w:val="20"/>
              </w:rPr>
            </w:pPr>
          </w:p>
        </w:tc>
        <w:tc>
          <w:tcPr>
            <w:tcW w:w="1072" w:type="dxa"/>
          </w:tcPr>
          <w:p>
            <w:pPr>
              <w:pStyle w:val="TableParagraph"/>
              <w:jc w:val="left"/>
              <w:rPr>
                <w:rFonts w:ascii="Times New Roman"/>
                <w:sz w:val="20"/>
              </w:rPr>
            </w:pPr>
          </w:p>
        </w:tc>
        <w:tc>
          <w:tcPr>
            <w:tcW w:w="1658" w:type="dxa"/>
          </w:tcPr>
          <w:p>
            <w:pPr>
              <w:pStyle w:val="TableParagraph"/>
              <w:jc w:val="left"/>
              <w:rPr>
                <w:rFonts w:ascii="Times New Roman"/>
                <w:sz w:val="20"/>
              </w:rPr>
            </w:pPr>
          </w:p>
        </w:tc>
        <w:tc>
          <w:tcPr>
            <w:tcW w:w="1526" w:type="dxa"/>
            <w:vMerge w:val="restart"/>
          </w:tcPr>
          <w:p>
            <w:pPr>
              <w:pStyle w:val="TableParagraph"/>
              <w:jc w:val="left"/>
              <w:rPr>
                <w:rFonts w:ascii="Times New Roman"/>
                <w:sz w:val="26"/>
              </w:rPr>
            </w:pPr>
          </w:p>
        </w:tc>
      </w:tr>
      <w:tr>
        <w:trPr>
          <w:trHeight w:val="818" w:hRule="atLeast"/>
        </w:trPr>
        <w:tc>
          <w:tcPr>
            <w:tcW w:w="506" w:type="dxa"/>
          </w:tcPr>
          <w:p>
            <w:pPr>
              <w:pStyle w:val="TableParagraph"/>
              <w:spacing w:before="12"/>
              <w:jc w:val="left"/>
              <w:rPr>
                <w:b/>
                <w:sz w:val="21"/>
              </w:rPr>
            </w:pPr>
          </w:p>
          <w:p>
            <w:pPr>
              <w:pStyle w:val="TableParagraph"/>
              <w:ind w:left="7"/>
              <w:rPr>
                <w:rFonts w:ascii="Times New Roman"/>
                <w:sz w:val="21"/>
              </w:rPr>
            </w:pPr>
            <w:r>
              <w:rPr>
                <w:rFonts w:ascii="Times New Roman"/>
                <w:w w:val="100"/>
                <w:sz w:val="21"/>
              </w:rPr>
              <w:t>6</w:t>
            </w:r>
          </w:p>
        </w:tc>
        <w:tc>
          <w:tcPr>
            <w:tcW w:w="820" w:type="dxa"/>
          </w:tcPr>
          <w:p>
            <w:pPr>
              <w:pStyle w:val="TableParagraph"/>
              <w:spacing w:before="1"/>
              <w:ind w:left="199"/>
              <w:jc w:val="left"/>
              <w:rPr>
                <w:sz w:val="21"/>
              </w:rPr>
            </w:pPr>
            <w:r>
              <w:rPr>
                <w:sz w:val="21"/>
              </w:rPr>
              <w:t>废催</w:t>
            </w:r>
          </w:p>
          <w:p>
            <w:pPr>
              <w:pStyle w:val="TableParagraph"/>
              <w:spacing w:line="270" w:lineRule="atLeast" w:before="3"/>
              <w:ind w:left="199" w:right="186"/>
              <w:jc w:val="left"/>
              <w:rPr>
                <w:sz w:val="21"/>
              </w:rPr>
            </w:pPr>
            <w:r>
              <w:rPr>
                <w:spacing w:val="-9"/>
                <w:sz w:val="21"/>
              </w:rPr>
              <w:t>化剂釜残</w:t>
            </w:r>
          </w:p>
        </w:tc>
        <w:tc>
          <w:tcPr>
            <w:tcW w:w="1166" w:type="dxa"/>
          </w:tcPr>
          <w:p>
            <w:pPr>
              <w:pStyle w:val="TableParagraph"/>
              <w:spacing w:before="5"/>
              <w:jc w:val="left"/>
              <w:rPr>
                <w:b/>
                <w:sz w:val="21"/>
              </w:rPr>
            </w:pPr>
          </w:p>
          <w:p>
            <w:pPr>
              <w:pStyle w:val="TableParagraph"/>
              <w:ind w:left="12"/>
              <w:rPr>
                <w:sz w:val="21"/>
              </w:rPr>
            </w:pPr>
            <w:r>
              <w:rPr>
                <w:sz w:val="21"/>
              </w:rPr>
              <w:t>精馏塔</w:t>
            </w:r>
          </w:p>
        </w:tc>
        <w:tc>
          <w:tcPr>
            <w:tcW w:w="962" w:type="dxa"/>
          </w:tcPr>
          <w:p>
            <w:pPr>
              <w:pStyle w:val="TableParagraph"/>
              <w:spacing w:line="244" w:lineRule="auto" w:before="138"/>
              <w:ind w:left="375" w:right="151" w:hanging="212"/>
              <w:jc w:val="left"/>
              <w:rPr>
                <w:sz w:val="21"/>
              </w:rPr>
            </w:pPr>
            <w:r>
              <w:rPr>
                <w:sz w:val="21"/>
              </w:rPr>
              <w:t>危险废物</w:t>
            </w:r>
          </w:p>
        </w:tc>
        <w:tc>
          <w:tcPr>
            <w:tcW w:w="1005" w:type="dxa"/>
          </w:tcPr>
          <w:p>
            <w:pPr>
              <w:pStyle w:val="TableParagraph"/>
              <w:spacing w:before="12"/>
              <w:jc w:val="left"/>
              <w:rPr>
                <w:b/>
                <w:sz w:val="21"/>
              </w:rPr>
            </w:pPr>
          </w:p>
          <w:p>
            <w:pPr>
              <w:pStyle w:val="TableParagraph"/>
              <w:ind w:left="194" w:right="182"/>
              <w:rPr>
                <w:rFonts w:ascii="Times New Roman"/>
                <w:sz w:val="21"/>
              </w:rPr>
            </w:pPr>
            <w:r>
              <w:rPr>
                <w:rFonts w:ascii="Times New Roman"/>
                <w:sz w:val="21"/>
              </w:rPr>
              <w:t>178.92</w:t>
            </w:r>
          </w:p>
        </w:tc>
        <w:tc>
          <w:tcPr>
            <w:tcW w:w="1072" w:type="dxa"/>
          </w:tcPr>
          <w:p>
            <w:pPr>
              <w:pStyle w:val="TableParagraph"/>
              <w:spacing w:before="12"/>
              <w:jc w:val="left"/>
              <w:rPr>
                <w:b/>
                <w:sz w:val="21"/>
              </w:rPr>
            </w:pPr>
          </w:p>
          <w:p>
            <w:pPr>
              <w:pStyle w:val="TableParagraph"/>
              <w:ind w:left="96" w:right="83"/>
              <w:rPr>
                <w:rFonts w:ascii="Times New Roman"/>
                <w:sz w:val="21"/>
              </w:rPr>
            </w:pPr>
            <w:r>
              <w:rPr>
                <w:rFonts w:ascii="Times New Roman"/>
                <w:sz w:val="21"/>
              </w:rPr>
              <w:t>HW06</w:t>
            </w:r>
          </w:p>
        </w:tc>
        <w:tc>
          <w:tcPr>
            <w:tcW w:w="1658" w:type="dxa"/>
          </w:tcPr>
          <w:p>
            <w:pPr>
              <w:pStyle w:val="TableParagraph"/>
              <w:spacing w:before="12"/>
              <w:jc w:val="left"/>
              <w:rPr>
                <w:b/>
                <w:sz w:val="21"/>
              </w:rPr>
            </w:pPr>
          </w:p>
          <w:p>
            <w:pPr>
              <w:pStyle w:val="TableParagraph"/>
              <w:ind w:left="321" w:right="307"/>
              <w:rPr>
                <w:rFonts w:ascii="Times New Roman"/>
                <w:sz w:val="21"/>
              </w:rPr>
            </w:pPr>
            <w:r>
              <w:rPr>
                <w:rFonts w:ascii="Times New Roman"/>
                <w:sz w:val="21"/>
              </w:rPr>
              <w:t>261-005-06</w:t>
            </w:r>
          </w:p>
        </w:tc>
        <w:tc>
          <w:tcPr>
            <w:tcW w:w="1526" w:type="dxa"/>
            <w:vMerge/>
            <w:tcBorders>
              <w:top w:val="nil"/>
            </w:tcBorders>
          </w:tcPr>
          <w:p>
            <w:pPr>
              <w:rPr>
                <w:sz w:val="2"/>
                <w:szCs w:val="2"/>
              </w:rPr>
            </w:pPr>
          </w:p>
        </w:tc>
      </w:tr>
      <w:tr>
        <w:trPr>
          <w:trHeight w:val="544" w:hRule="atLeast"/>
        </w:trPr>
        <w:tc>
          <w:tcPr>
            <w:tcW w:w="506" w:type="dxa"/>
          </w:tcPr>
          <w:p>
            <w:pPr>
              <w:pStyle w:val="TableParagraph"/>
              <w:spacing w:before="144"/>
              <w:ind w:left="7"/>
              <w:rPr>
                <w:rFonts w:ascii="Times New Roman"/>
                <w:sz w:val="21"/>
              </w:rPr>
            </w:pPr>
            <w:r>
              <w:rPr>
                <w:rFonts w:ascii="Times New Roman"/>
                <w:w w:val="100"/>
                <w:sz w:val="21"/>
              </w:rPr>
              <w:t>7</w:t>
            </w:r>
          </w:p>
        </w:tc>
        <w:tc>
          <w:tcPr>
            <w:tcW w:w="820" w:type="dxa"/>
          </w:tcPr>
          <w:p>
            <w:pPr>
              <w:pStyle w:val="TableParagraph"/>
              <w:spacing w:before="1"/>
              <w:ind w:left="199"/>
              <w:jc w:val="left"/>
              <w:rPr>
                <w:sz w:val="21"/>
              </w:rPr>
            </w:pPr>
            <w:r>
              <w:rPr>
                <w:sz w:val="21"/>
              </w:rPr>
              <w:t>废导</w:t>
            </w:r>
          </w:p>
          <w:p>
            <w:pPr>
              <w:pStyle w:val="TableParagraph"/>
              <w:spacing w:line="252" w:lineRule="exact" w:before="2"/>
              <w:ind w:left="199"/>
              <w:jc w:val="left"/>
              <w:rPr>
                <w:sz w:val="21"/>
              </w:rPr>
            </w:pPr>
            <w:r>
              <w:rPr>
                <w:sz w:val="21"/>
              </w:rPr>
              <w:t>热油</w:t>
            </w:r>
          </w:p>
        </w:tc>
        <w:tc>
          <w:tcPr>
            <w:tcW w:w="1166" w:type="dxa"/>
          </w:tcPr>
          <w:p>
            <w:pPr>
              <w:pStyle w:val="TableParagraph"/>
              <w:spacing w:before="137"/>
              <w:ind w:left="10"/>
              <w:rPr>
                <w:sz w:val="21"/>
              </w:rPr>
            </w:pPr>
            <w:r>
              <w:rPr>
                <w:sz w:val="21"/>
              </w:rPr>
              <w:t>导热油炉</w:t>
            </w:r>
          </w:p>
        </w:tc>
        <w:tc>
          <w:tcPr>
            <w:tcW w:w="962" w:type="dxa"/>
          </w:tcPr>
          <w:p>
            <w:pPr>
              <w:pStyle w:val="TableParagraph"/>
              <w:spacing w:before="1"/>
              <w:ind w:left="146" w:right="136"/>
              <w:rPr>
                <w:sz w:val="21"/>
              </w:rPr>
            </w:pPr>
            <w:r>
              <w:rPr>
                <w:sz w:val="21"/>
              </w:rPr>
              <w:t>危险废</w:t>
            </w:r>
          </w:p>
          <w:p>
            <w:pPr>
              <w:pStyle w:val="TableParagraph"/>
              <w:spacing w:line="252" w:lineRule="exact" w:before="2"/>
              <w:ind w:left="10"/>
              <w:rPr>
                <w:sz w:val="21"/>
              </w:rPr>
            </w:pPr>
            <w:r>
              <w:rPr>
                <w:w w:val="100"/>
                <w:sz w:val="21"/>
              </w:rPr>
              <w:t>物</w:t>
            </w:r>
          </w:p>
        </w:tc>
        <w:tc>
          <w:tcPr>
            <w:tcW w:w="1005" w:type="dxa"/>
          </w:tcPr>
          <w:p>
            <w:pPr>
              <w:pStyle w:val="TableParagraph"/>
              <w:spacing w:before="144"/>
              <w:ind w:left="12"/>
              <w:rPr>
                <w:rFonts w:ascii="Times New Roman"/>
                <w:sz w:val="21"/>
              </w:rPr>
            </w:pPr>
            <w:r>
              <w:rPr>
                <w:rFonts w:ascii="Times New Roman"/>
                <w:w w:val="100"/>
                <w:sz w:val="21"/>
              </w:rPr>
              <w:t>1</w:t>
            </w:r>
          </w:p>
        </w:tc>
        <w:tc>
          <w:tcPr>
            <w:tcW w:w="1072" w:type="dxa"/>
          </w:tcPr>
          <w:p>
            <w:pPr>
              <w:pStyle w:val="TableParagraph"/>
              <w:spacing w:before="144"/>
              <w:ind w:left="96" w:right="83"/>
              <w:rPr>
                <w:rFonts w:ascii="Times New Roman"/>
                <w:sz w:val="21"/>
              </w:rPr>
            </w:pPr>
            <w:r>
              <w:rPr>
                <w:rFonts w:ascii="Times New Roman"/>
                <w:sz w:val="21"/>
              </w:rPr>
              <w:t>HW06</w:t>
            </w:r>
          </w:p>
        </w:tc>
        <w:tc>
          <w:tcPr>
            <w:tcW w:w="1658" w:type="dxa"/>
          </w:tcPr>
          <w:p>
            <w:pPr>
              <w:pStyle w:val="TableParagraph"/>
              <w:spacing w:before="144"/>
              <w:ind w:left="321" w:right="307"/>
              <w:rPr>
                <w:rFonts w:ascii="Times New Roman"/>
                <w:sz w:val="21"/>
              </w:rPr>
            </w:pPr>
            <w:r>
              <w:rPr>
                <w:rFonts w:ascii="Times New Roman"/>
                <w:sz w:val="21"/>
              </w:rPr>
              <w:t>261-005-06</w:t>
            </w:r>
          </w:p>
        </w:tc>
        <w:tc>
          <w:tcPr>
            <w:tcW w:w="1526" w:type="dxa"/>
            <w:vMerge/>
            <w:tcBorders>
              <w:top w:val="nil"/>
            </w:tcBorders>
          </w:tcPr>
          <w:p>
            <w:pPr>
              <w:rPr>
                <w:sz w:val="2"/>
                <w:szCs w:val="2"/>
              </w:rPr>
            </w:pPr>
          </w:p>
        </w:tc>
      </w:tr>
    </w:tbl>
    <w:p>
      <w:pPr>
        <w:pStyle w:val="ListParagraph"/>
        <w:numPr>
          <w:ilvl w:val="2"/>
          <w:numId w:val="4"/>
        </w:numPr>
        <w:tabs>
          <w:tab w:pos="1478" w:val="left" w:leader="none"/>
        </w:tabs>
        <w:spacing w:line="357" w:lineRule="exact" w:before="0" w:after="0"/>
        <w:ind w:left="1477" w:right="0" w:hanging="776"/>
        <w:jc w:val="left"/>
        <w:rPr>
          <w:b/>
          <w:sz w:val="28"/>
        </w:rPr>
      </w:pPr>
      <w:r>
        <w:rPr>
          <w:b/>
          <w:sz w:val="28"/>
        </w:rPr>
        <w:t>噪声</w:t>
      </w:r>
    </w:p>
    <w:p>
      <w:pPr>
        <w:pStyle w:val="BodyText"/>
        <w:spacing w:line="364" w:lineRule="auto" w:before="186"/>
        <w:ind w:left="421" w:right="416" w:firstLine="422"/>
        <w:jc w:val="both"/>
      </w:pPr>
      <w:r>
        <w:rPr>
          <w:spacing w:val="-8"/>
        </w:rPr>
        <w:t>主要噪声源为汽化器、反应器、冷凝器、燃气锅炉、精馏塔、酯化</w:t>
      </w:r>
      <w:r>
        <w:rPr>
          <w:spacing w:val="-2"/>
        </w:rPr>
        <w:t>釜、精馏釜、各种泵类、风机等生产设备生产运行过程中产生的机械</w:t>
      </w:r>
      <w:r>
        <w:rPr>
          <w:spacing w:val="-3"/>
        </w:rPr>
        <w:t>动力噪声，采取了以下措施降低噪声：</w:t>
      </w:r>
    </w:p>
    <w:p>
      <w:pPr>
        <w:pStyle w:val="ListParagraph"/>
        <w:numPr>
          <w:ilvl w:val="0"/>
          <w:numId w:val="8"/>
        </w:numPr>
        <w:tabs>
          <w:tab w:pos="1544" w:val="left" w:leader="none"/>
        </w:tabs>
        <w:spacing w:line="357" w:lineRule="exact" w:before="0" w:after="0"/>
        <w:ind w:left="1543" w:right="0" w:hanging="703"/>
        <w:jc w:val="left"/>
        <w:rPr>
          <w:sz w:val="28"/>
        </w:rPr>
      </w:pPr>
      <w:r>
        <w:rPr>
          <w:spacing w:val="-5"/>
          <w:sz w:val="28"/>
        </w:rPr>
        <w:t>在满足工艺要求的前提下，尽量选择功率小、噪声低的设备；</w:t>
      </w:r>
    </w:p>
    <w:p>
      <w:pPr>
        <w:pStyle w:val="ListParagraph"/>
        <w:numPr>
          <w:ilvl w:val="0"/>
          <w:numId w:val="8"/>
        </w:numPr>
        <w:tabs>
          <w:tab w:pos="1555" w:val="left" w:leader="none"/>
        </w:tabs>
        <w:spacing w:line="364" w:lineRule="auto" w:before="186" w:after="0"/>
        <w:ind w:left="421" w:right="413" w:firstLine="420"/>
        <w:jc w:val="left"/>
        <w:rPr>
          <w:sz w:val="28"/>
        </w:rPr>
      </w:pPr>
      <w:r>
        <w:rPr>
          <w:sz w:val="28"/>
        </w:rPr>
        <w:t>震动较大的设备采用单独基础，在此基础上采取相应的减震措施；</w:t>
      </w:r>
    </w:p>
    <w:p>
      <w:pPr>
        <w:pStyle w:val="ListParagraph"/>
        <w:numPr>
          <w:ilvl w:val="0"/>
          <w:numId w:val="8"/>
        </w:numPr>
        <w:tabs>
          <w:tab w:pos="1555" w:val="left" w:leader="none"/>
        </w:tabs>
        <w:spacing w:line="364" w:lineRule="auto" w:before="0" w:after="0"/>
        <w:ind w:left="421" w:right="413" w:firstLine="420"/>
        <w:jc w:val="left"/>
        <w:rPr>
          <w:sz w:val="28"/>
        </w:rPr>
      </w:pPr>
      <w:r>
        <w:rPr>
          <w:sz w:val="28"/>
        </w:rPr>
        <w:t>厂区合理布局；加强车间的隔音措施；对各种噪声设备采用</w:t>
      </w:r>
      <w:r>
        <w:rPr>
          <w:spacing w:val="-3"/>
          <w:sz w:val="28"/>
        </w:rPr>
        <w:t>隔音、降噪等措施。</w:t>
      </w:r>
    </w:p>
    <w:p>
      <w:pPr>
        <w:pStyle w:val="ListParagraph"/>
        <w:numPr>
          <w:ilvl w:val="1"/>
          <w:numId w:val="4"/>
        </w:numPr>
        <w:tabs>
          <w:tab w:pos="917" w:val="left" w:leader="none"/>
        </w:tabs>
        <w:spacing w:line="358" w:lineRule="exact" w:before="0" w:after="0"/>
        <w:ind w:left="916" w:right="0" w:hanging="496"/>
        <w:jc w:val="left"/>
        <w:rPr>
          <w:b/>
          <w:sz w:val="28"/>
        </w:rPr>
      </w:pPr>
      <w:bookmarkStart w:name="_TOC_250054" w:id="14"/>
      <w:bookmarkEnd w:id="14"/>
      <w:r>
        <w:rPr>
          <w:b/>
          <w:sz w:val="28"/>
        </w:rPr>
        <w:t>环境质量标准</w:t>
      </w:r>
    </w:p>
    <w:p>
      <w:pPr>
        <w:pStyle w:val="BodyText"/>
        <w:spacing w:before="185"/>
        <w:ind w:left="980"/>
      </w:pPr>
      <w:r>
        <w:rPr>
          <w:rFonts w:ascii="Times New Roman" w:eastAsia="Times New Roman"/>
        </w:rPr>
        <w:t>1</w:t>
      </w:r>
      <w:r>
        <w:rPr/>
        <w:t>、环境空气</w:t>
      </w:r>
    </w:p>
    <w:p>
      <w:pPr>
        <w:pStyle w:val="BodyText"/>
        <w:spacing w:line="364" w:lineRule="auto" w:before="186"/>
        <w:ind w:left="421" w:right="416" w:firstLine="559"/>
      </w:pPr>
      <w:r>
        <w:rPr/>
        <w:t>根据潍坊市环境空气质量功能区划，企业所在区域属于环境空气二类区。</w:t>
      </w:r>
    </w:p>
    <w:p>
      <w:pPr>
        <w:pStyle w:val="BodyText"/>
        <w:spacing w:line="362" w:lineRule="auto"/>
        <w:ind w:left="421" w:right="276" w:firstLine="559"/>
      </w:pPr>
      <w:r>
        <w:rPr>
          <w:spacing w:val="1"/>
        </w:rPr>
        <w:t>根据滨海区环境监测站</w:t>
      </w:r>
      <w:r>
        <w:rPr>
          <w:rFonts w:ascii="Times New Roman" w:eastAsia="Times New Roman"/>
        </w:rPr>
        <w:t>2018 </w:t>
      </w:r>
      <w:r>
        <w:rPr>
          <w:spacing w:val="38"/>
        </w:rPr>
        <w:t>年</w:t>
      </w:r>
      <w:r>
        <w:rPr>
          <w:rFonts w:ascii="Times New Roman" w:eastAsia="Times New Roman"/>
        </w:rPr>
        <w:t>1-6 </w:t>
      </w:r>
      <w:r>
        <w:rPr>
          <w:spacing w:val="-3"/>
        </w:rPr>
        <w:t>月环境空气例行监测资料可知， </w:t>
      </w:r>
      <w:r>
        <w:rPr>
          <w:spacing w:val="4"/>
        </w:rPr>
        <w:t>企业所在区域 </w:t>
      </w:r>
      <w:r>
        <w:rPr>
          <w:rFonts w:ascii="Times New Roman" w:eastAsia="Times New Roman"/>
        </w:rPr>
        <w:t>SO</w:t>
      </w:r>
      <w:r>
        <w:rPr>
          <w:rFonts w:ascii="Times New Roman" w:eastAsia="Times New Roman"/>
          <w:vertAlign w:val="subscript"/>
        </w:rPr>
        <w:t>2</w:t>
      </w:r>
      <w:r>
        <w:rPr>
          <w:spacing w:val="7"/>
          <w:vertAlign w:val="baseline"/>
        </w:rPr>
        <w:t>、</w:t>
      </w:r>
      <w:r>
        <w:rPr>
          <w:rFonts w:ascii="Times New Roman" w:eastAsia="Times New Roman"/>
          <w:vertAlign w:val="baseline"/>
        </w:rPr>
        <w:t>NO</w:t>
      </w:r>
      <w:r>
        <w:rPr>
          <w:rFonts w:ascii="Times New Roman" w:eastAsia="Times New Roman"/>
          <w:vertAlign w:val="subscript"/>
        </w:rPr>
        <w:t>2</w:t>
      </w:r>
      <w:r>
        <w:rPr>
          <w:spacing w:val="7"/>
          <w:vertAlign w:val="baseline"/>
        </w:rPr>
        <w:t>、</w:t>
      </w:r>
      <w:r>
        <w:rPr>
          <w:rFonts w:ascii="Times New Roman" w:eastAsia="Times New Roman"/>
          <w:vertAlign w:val="baseline"/>
        </w:rPr>
        <w:t>PM</w:t>
      </w:r>
      <w:r>
        <w:rPr>
          <w:rFonts w:ascii="Times New Roman" w:eastAsia="Times New Roman"/>
          <w:vertAlign w:val="subscript"/>
        </w:rPr>
        <w:t>2.5</w:t>
      </w:r>
      <w:r>
        <w:rPr>
          <w:rFonts w:ascii="Times New Roman" w:eastAsia="Times New Roman"/>
          <w:vertAlign w:val="baseline"/>
        </w:rPr>
        <w:t> </w:t>
      </w:r>
      <w:r>
        <w:rPr>
          <w:spacing w:val="7"/>
          <w:vertAlign w:val="baseline"/>
        </w:rPr>
        <w:t>和 </w:t>
      </w:r>
      <w:r>
        <w:rPr>
          <w:rFonts w:ascii="Times New Roman" w:eastAsia="Times New Roman"/>
          <w:vertAlign w:val="baseline"/>
        </w:rPr>
        <w:t>PM</w:t>
      </w:r>
      <w:r>
        <w:rPr>
          <w:rFonts w:ascii="Times New Roman" w:eastAsia="Times New Roman"/>
          <w:vertAlign w:val="subscript"/>
        </w:rPr>
        <w:t>10</w:t>
      </w:r>
      <w:r>
        <w:rPr>
          <w:rFonts w:ascii="Times New Roman" w:eastAsia="Times New Roman"/>
          <w:vertAlign w:val="baseline"/>
        </w:rPr>
        <w:t> </w:t>
      </w:r>
      <w:r>
        <w:rPr>
          <w:spacing w:val="3"/>
          <w:vertAlign w:val="baseline"/>
        </w:rPr>
        <w:t>满足《环境空气质量标准》</w:t>
      </w:r>
    </w:p>
    <w:p>
      <w:pPr>
        <w:pStyle w:val="BodyText"/>
        <w:spacing w:before="3"/>
        <w:ind w:left="421"/>
      </w:pPr>
      <w:r>
        <w:rPr/>
        <w:t>（</w:t>
      </w:r>
      <w:r>
        <w:rPr>
          <w:rFonts w:ascii="Times New Roman" w:eastAsia="Times New Roman"/>
        </w:rPr>
        <w:t>GB3095-2012</w:t>
      </w:r>
      <w:r>
        <w:rPr/>
        <w:t>）二级标准中标准限制的要求。</w:t>
      </w:r>
    </w:p>
    <w:p>
      <w:pPr>
        <w:pStyle w:val="BodyText"/>
        <w:spacing w:before="186"/>
        <w:ind w:left="980"/>
      </w:pPr>
      <w:r>
        <w:rPr>
          <w:rFonts w:ascii="Times New Roman" w:eastAsia="Times New Roman"/>
        </w:rPr>
        <w:t>2</w:t>
      </w:r>
      <w:r>
        <w:rPr/>
        <w:t>、地表水</w:t>
      </w:r>
    </w:p>
    <w:p>
      <w:pPr>
        <w:pStyle w:val="BodyText"/>
        <w:spacing w:line="364" w:lineRule="auto" w:before="186"/>
        <w:ind w:left="421" w:right="416" w:firstLine="559"/>
        <w:jc w:val="both"/>
      </w:pPr>
      <w:r>
        <w:rPr>
          <w:spacing w:val="-7"/>
        </w:rPr>
        <w:t>根据《潍坊市环境质量简报</w:t>
      </w:r>
      <w:r>
        <w:rPr>
          <w:spacing w:val="-166"/>
        </w:rPr>
        <w:t>》</w:t>
      </w:r>
      <w:r>
        <w:rPr/>
        <w:t>（</w:t>
      </w:r>
      <w:r>
        <w:rPr>
          <w:rFonts w:ascii="Times New Roman" w:hAnsi="Times New Roman" w:eastAsia="Times New Roman"/>
        </w:rPr>
        <w:t>2017 </w:t>
      </w:r>
      <w:r>
        <w:rPr/>
        <w:t>年</w:t>
      </w:r>
      <w:r>
        <w:rPr>
          <w:spacing w:val="-27"/>
        </w:rPr>
        <w:t>）</w:t>
      </w:r>
      <w:r>
        <w:rPr>
          <w:spacing w:val="-7"/>
        </w:rPr>
        <w:t>等资料，开发区地表水体</w:t>
      </w:r>
      <w:r>
        <w:rPr>
          <w:spacing w:val="19"/>
        </w:rPr>
        <w:t>丹河 </w:t>
      </w:r>
      <w:r>
        <w:rPr>
          <w:rFonts w:ascii="Times New Roman" w:hAnsi="Times New Roman" w:eastAsia="Times New Roman"/>
        </w:rPr>
        <w:t>pH </w:t>
      </w:r>
      <w:r>
        <w:rPr>
          <w:spacing w:val="18"/>
        </w:rPr>
        <w:t>值 </w:t>
      </w:r>
      <w:r>
        <w:rPr>
          <w:rFonts w:ascii="Times New Roman" w:hAnsi="Times New Roman" w:eastAsia="Times New Roman"/>
          <w:spacing w:val="5"/>
        </w:rPr>
        <w:t>7.42</w:t>
      </w:r>
      <w:r>
        <w:rPr>
          <w:spacing w:val="24"/>
        </w:rPr>
        <w:t>、</w:t>
      </w:r>
      <w:r>
        <w:rPr>
          <w:rFonts w:ascii="Times New Roman" w:hAnsi="Times New Roman" w:eastAsia="Times New Roman"/>
        </w:rPr>
        <w:t>COD19.6mg/L</w:t>
      </w:r>
      <w:r>
        <w:rPr>
          <w:spacing w:val="21"/>
        </w:rPr>
        <w:t>、高锰酸盐指数 </w:t>
      </w:r>
      <w:r>
        <w:rPr>
          <w:rFonts w:ascii="Times New Roman" w:hAnsi="Times New Roman" w:eastAsia="Times New Roman"/>
        </w:rPr>
        <w:t>4.68mg/L</w:t>
      </w:r>
      <w:r>
        <w:rPr>
          <w:spacing w:val="16"/>
        </w:rPr>
        <w:t>、氨氮</w:t>
      </w:r>
      <w:r>
        <w:rPr>
          <w:rFonts w:ascii="Times New Roman" w:hAnsi="Times New Roman" w:eastAsia="Times New Roman"/>
          <w:spacing w:val="16"/>
        </w:rPr>
        <w:t>0.21mg/L</w:t>
      </w:r>
      <w:r>
        <w:rPr>
          <w:spacing w:val="1"/>
        </w:rPr>
        <w:t>、硫酸盐 </w:t>
      </w:r>
      <w:r>
        <w:rPr>
          <w:rFonts w:ascii="Times New Roman" w:hAnsi="Times New Roman" w:eastAsia="Times New Roman"/>
        </w:rPr>
        <w:t>220mg/L</w:t>
      </w:r>
      <w:r>
        <w:rPr>
          <w:spacing w:val="-7"/>
        </w:rPr>
        <w:t>、挥发酚未检出、粪大肠菌群 </w:t>
      </w:r>
      <w:r>
        <w:rPr>
          <w:rFonts w:ascii="Times New Roman" w:hAnsi="Times New Roman" w:eastAsia="Times New Roman"/>
        </w:rPr>
        <w:t>3560 </w:t>
      </w:r>
      <w:r>
        <w:rPr/>
        <w:t>个</w:t>
      </w:r>
      <w:r>
        <w:rPr>
          <w:rFonts w:ascii="Times New Roman" w:hAnsi="Times New Roman" w:eastAsia="Times New Roman"/>
        </w:rPr>
        <w:t>/L</w:t>
      </w:r>
      <w:r>
        <w:rPr/>
        <w:t>， </w:t>
      </w:r>
      <w:r>
        <w:rPr>
          <w:spacing w:val="-4"/>
        </w:rPr>
        <w:t>各监测值均能满足《地表水环境质量标准》</w:t>
      </w:r>
      <w:r>
        <w:rPr>
          <w:rFonts w:ascii="Times New Roman" w:hAnsi="Times New Roman" w:eastAsia="Times New Roman"/>
        </w:rPr>
        <w:t>(GB3838-2002)</w:t>
      </w:r>
      <w:r>
        <w:rPr/>
        <w:t>Ⅲ类标准要求。</w:t>
      </w:r>
    </w:p>
    <w:p>
      <w:pPr>
        <w:spacing w:after="0" w:line="364" w:lineRule="auto"/>
        <w:jc w:val="both"/>
        <w:sectPr>
          <w:pgSz w:w="11910" w:h="16840"/>
          <w:pgMar w:header="0" w:footer="984" w:top="1580" w:bottom="1180" w:left="1280" w:right="1280"/>
        </w:sectPr>
      </w:pPr>
    </w:p>
    <w:p>
      <w:pPr>
        <w:pStyle w:val="BodyText"/>
        <w:spacing w:before="102"/>
        <w:ind w:left="980"/>
      </w:pPr>
      <w:r>
        <w:rPr>
          <w:rFonts w:ascii="Times New Roman" w:eastAsia="Times New Roman"/>
        </w:rPr>
        <w:t>3</w:t>
      </w:r>
      <w:r>
        <w:rPr/>
        <w:t>、地下水</w:t>
      </w:r>
    </w:p>
    <w:p>
      <w:pPr>
        <w:pStyle w:val="BodyText"/>
        <w:spacing w:line="364" w:lineRule="auto" w:before="186"/>
        <w:ind w:left="421" w:right="416" w:firstLine="559"/>
      </w:pPr>
      <w:r>
        <w:rPr/>
        <w:t>根据潍坊市地下水环境功能区划，企业所在区域属于地下水Ⅴ类功能区。</w:t>
      </w:r>
    </w:p>
    <w:p>
      <w:pPr>
        <w:pStyle w:val="BodyText"/>
        <w:spacing w:line="364" w:lineRule="auto"/>
        <w:ind w:left="421" w:right="276" w:firstLine="559"/>
      </w:pPr>
      <w:r>
        <w:rPr>
          <w:spacing w:val="-10"/>
        </w:rPr>
        <w:t>根据潍坊市环境监测中心站 </w:t>
      </w:r>
      <w:r>
        <w:rPr>
          <w:rFonts w:ascii="Times New Roman" w:hAnsi="Times New Roman" w:eastAsia="Times New Roman"/>
        </w:rPr>
        <w:t>2017 </w:t>
      </w:r>
      <w:r>
        <w:rPr>
          <w:spacing w:val="-3"/>
        </w:rPr>
        <w:t>年对崔家央子村地下水的监测结</w:t>
      </w:r>
      <w:r>
        <w:rPr>
          <w:spacing w:val="-15"/>
        </w:rPr>
        <w:t>果，</w:t>
      </w:r>
      <w:r>
        <w:rPr>
          <w:rFonts w:ascii="Times New Roman" w:hAnsi="Times New Roman" w:eastAsia="Times New Roman"/>
          <w:spacing w:val="-26"/>
        </w:rPr>
        <w:t>pH </w:t>
      </w:r>
      <w:r>
        <w:rPr>
          <w:spacing w:val="-22"/>
        </w:rPr>
        <w:t>值为 </w:t>
      </w:r>
      <w:r>
        <w:rPr>
          <w:rFonts w:ascii="Times New Roman" w:hAnsi="Times New Roman" w:eastAsia="Times New Roman"/>
          <w:spacing w:val="-16"/>
        </w:rPr>
        <w:t>6.88</w:t>
      </w:r>
      <w:r>
        <w:rPr>
          <w:spacing w:val="-12"/>
        </w:rPr>
        <w:t>，高锰酸盐指数为 </w:t>
      </w:r>
      <w:r>
        <w:rPr>
          <w:rFonts w:ascii="Times New Roman" w:hAnsi="Times New Roman" w:eastAsia="Times New Roman"/>
          <w:spacing w:val="-10"/>
        </w:rPr>
        <w:t>1.25mg/L</w:t>
      </w:r>
      <w:r>
        <w:rPr>
          <w:spacing w:val="-14"/>
        </w:rPr>
        <w:t>，总硬度为 </w:t>
      </w:r>
      <w:r>
        <w:rPr>
          <w:rFonts w:ascii="Times New Roman" w:hAnsi="Times New Roman" w:eastAsia="Times New Roman"/>
        </w:rPr>
        <w:t>2.88×10</w:t>
      </w:r>
      <w:r>
        <w:rPr>
          <w:rFonts w:ascii="Times New Roman" w:hAnsi="Times New Roman" w:eastAsia="Times New Roman"/>
          <w:vertAlign w:val="superscript"/>
        </w:rPr>
        <w:t>4</w:t>
      </w:r>
      <w:r>
        <w:rPr>
          <w:rFonts w:ascii="Times New Roman" w:hAnsi="Times New Roman" w:eastAsia="Times New Roman"/>
          <w:vertAlign w:val="baseline"/>
        </w:rPr>
        <w:t>mg/L</w:t>
      </w:r>
      <w:r>
        <w:rPr>
          <w:vertAlign w:val="baseline"/>
        </w:rPr>
        <w:t>， </w:t>
      </w:r>
      <w:r>
        <w:rPr>
          <w:spacing w:val="-13"/>
          <w:vertAlign w:val="baseline"/>
        </w:rPr>
        <w:t>属于《地下水质量标准》</w:t>
      </w:r>
      <w:r>
        <w:rPr>
          <w:vertAlign w:val="baseline"/>
        </w:rPr>
        <w:t>（</w:t>
      </w:r>
      <w:r>
        <w:rPr>
          <w:rFonts w:ascii="Times New Roman" w:hAnsi="Times New Roman" w:eastAsia="Times New Roman"/>
          <w:vertAlign w:val="baseline"/>
        </w:rPr>
        <w:t>GB/T14848</w:t>
      </w:r>
      <w:r>
        <w:rPr>
          <w:vertAlign w:val="baseline"/>
        </w:rPr>
        <w:t>－</w:t>
      </w:r>
      <w:r>
        <w:rPr>
          <w:rFonts w:ascii="Times New Roman" w:hAnsi="Times New Roman" w:eastAsia="Times New Roman"/>
          <w:vertAlign w:val="baseline"/>
        </w:rPr>
        <w:t>2017</w:t>
      </w:r>
      <w:r>
        <w:rPr>
          <w:vertAlign w:val="baseline"/>
        </w:rPr>
        <w:t>）中的Ⅴ类水质。由于当地地下水严重盐碱化，属于地下卤水，不能作为生活饮用水和工农业用水。</w:t>
      </w:r>
    </w:p>
    <w:p>
      <w:pPr>
        <w:pStyle w:val="BodyText"/>
        <w:spacing w:line="354" w:lineRule="exact"/>
        <w:ind w:left="980"/>
      </w:pPr>
      <w:r>
        <w:rPr>
          <w:rFonts w:ascii="Times New Roman" w:eastAsia="Times New Roman"/>
        </w:rPr>
        <w:t>4</w:t>
      </w:r>
      <w:r>
        <w:rPr/>
        <w:t>、声环境</w:t>
      </w:r>
    </w:p>
    <w:p>
      <w:pPr>
        <w:pStyle w:val="BodyText"/>
        <w:spacing w:line="364" w:lineRule="auto" w:before="185"/>
        <w:ind w:left="421" w:right="274" w:firstLine="559"/>
      </w:pPr>
      <w:r>
        <w:rPr>
          <w:spacing w:val="-9"/>
        </w:rPr>
        <w:t>根据潍坊市环境监测中心站 </w:t>
      </w:r>
      <w:r>
        <w:rPr>
          <w:rFonts w:ascii="Times New Roman" w:eastAsia="Times New Roman"/>
        </w:rPr>
        <w:t>2018 </w:t>
      </w:r>
      <w:r>
        <w:rPr>
          <w:spacing w:val="-33"/>
        </w:rPr>
        <w:t>年 </w:t>
      </w:r>
      <w:r>
        <w:rPr>
          <w:rFonts w:ascii="Times New Roman" w:eastAsia="Times New Roman"/>
        </w:rPr>
        <w:t>5 </w:t>
      </w:r>
      <w:r>
        <w:rPr>
          <w:spacing w:val="-7"/>
        </w:rPr>
        <w:t>月的监测资料，该区域昼间</w:t>
      </w:r>
      <w:r>
        <w:rPr>
          <w:spacing w:val="-24"/>
        </w:rPr>
        <w:t>噪声 </w:t>
      </w:r>
      <w:r>
        <w:rPr>
          <w:rFonts w:ascii="Times New Roman" w:eastAsia="Times New Roman"/>
          <w:spacing w:val="-12"/>
        </w:rPr>
        <w:t>53.9dBA</w:t>
      </w:r>
      <w:r>
        <w:rPr>
          <w:spacing w:val="-19"/>
        </w:rPr>
        <w:t>，夜间 </w:t>
      </w:r>
      <w:r>
        <w:rPr>
          <w:rFonts w:ascii="Times New Roman" w:eastAsia="Times New Roman"/>
          <w:spacing w:val="-12"/>
        </w:rPr>
        <w:t>42.0dBA</w:t>
      </w:r>
      <w:r>
        <w:rPr>
          <w:spacing w:val="-11"/>
        </w:rPr>
        <w:t>，该区域环境噪声符合《声环境质量标准》</w:t>
      </w:r>
      <w:r>
        <w:rPr>
          <w:rFonts w:ascii="Times New Roman" w:eastAsia="Times New Roman"/>
          <w:spacing w:val="-11"/>
        </w:rPr>
        <w:t>(GB3096-2008)</w:t>
      </w:r>
      <w:r>
        <w:rPr>
          <w:spacing w:val="-31"/>
        </w:rPr>
        <w:t>中的 </w:t>
      </w:r>
      <w:r>
        <w:rPr>
          <w:rFonts w:ascii="Times New Roman" w:eastAsia="Times New Roman"/>
        </w:rPr>
        <w:t>3 </w:t>
      </w:r>
      <w:r>
        <w:rPr>
          <w:spacing w:val="-3"/>
        </w:rPr>
        <w:t>类区标准的要求，声环境质量较好。</w:t>
      </w:r>
    </w:p>
    <w:p>
      <w:pPr>
        <w:pStyle w:val="ListParagraph"/>
        <w:numPr>
          <w:ilvl w:val="1"/>
          <w:numId w:val="4"/>
        </w:numPr>
        <w:tabs>
          <w:tab w:pos="917" w:val="left" w:leader="none"/>
        </w:tabs>
        <w:spacing w:line="357" w:lineRule="exact" w:before="0" w:after="0"/>
        <w:ind w:left="916" w:right="0" w:hanging="496"/>
        <w:jc w:val="left"/>
        <w:rPr>
          <w:b/>
          <w:sz w:val="28"/>
        </w:rPr>
      </w:pPr>
      <w:bookmarkStart w:name="_TOC_250053" w:id="15"/>
      <w:bookmarkEnd w:id="15"/>
      <w:r>
        <w:rPr>
          <w:b/>
          <w:sz w:val="28"/>
        </w:rPr>
        <w:t>环境保护目标</w:t>
      </w:r>
    </w:p>
    <w:p>
      <w:pPr>
        <w:pStyle w:val="BodyText"/>
        <w:spacing w:line="364" w:lineRule="auto" w:before="186"/>
        <w:ind w:left="421" w:right="416" w:firstLine="559"/>
        <w:jc w:val="both"/>
      </w:pPr>
      <w:r>
        <w:rPr/>
        <w:t>潍坊中汇化工有限公司位于山东潍坊滨海经济技术开发区先进制造业产业园海丰路以西，香江西二街以北地段，厂区东临海丰路，南临潍坊市浩瀚机械有限公司、潍坊华英生物科技有限公司，西临惠丰化学有限公司，北侧是潍坊龙舜化工有限公司。项目用地性质为工业用地，项目选址符合潍坊滨海经济开发区土地利用总体规划；项目周</w:t>
      </w:r>
      <w:r>
        <w:rPr>
          <w:spacing w:val="-5"/>
        </w:rPr>
        <w:t>边 </w:t>
      </w:r>
      <w:r>
        <w:rPr/>
        <w:t>1km</w:t>
      </w:r>
      <w:r>
        <w:rPr>
          <w:spacing w:val="-4"/>
        </w:rPr>
        <w:t> 范围内没有历史文物古迹、风景名胜区及重要生态功能区。周</w:t>
      </w:r>
      <w:r>
        <w:rPr>
          <w:spacing w:val="-9"/>
        </w:rPr>
        <w:t>围主要环境保护目标见附图 </w:t>
      </w:r>
      <w:r>
        <w:rPr/>
        <w:t>2。</w:t>
      </w:r>
    </w:p>
    <w:p>
      <w:pPr>
        <w:spacing w:before="119" w:after="20"/>
        <w:ind w:left="1964" w:right="0" w:firstLine="0"/>
        <w:jc w:val="both"/>
        <w:rPr>
          <w:b/>
          <w:sz w:val="28"/>
        </w:rPr>
      </w:pPr>
      <w:r>
        <w:rPr>
          <w:b/>
          <w:sz w:val="28"/>
        </w:rPr>
        <w:t>表 2-7-1 企业周边环境风险受体情况一览表</w:t>
      </w: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610"/>
        <w:gridCol w:w="1538"/>
        <w:gridCol w:w="1046"/>
        <w:gridCol w:w="1809"/>
        <w:gridCol w:w="1475"/>
      </w:tblGrid>
      <w:tr>
        <w:trPr>
          <w:trHeight w:val="623" w:hRule="atLeast"/>
        </w:trPr>
        <w:tc>
          <w:tcPr>
            <w:tcW w:w="1080" w:type="dxa"/>
          </w:tcPr>
          <w:p>
            <w:pPr>
              <w:pStyle w:val="TableParagraph"/>
              <w:spacing w:before="156"/>
              <w:ind w:left="57"/>
              <w:jc w:val="left"/>
              <w:rPr>
                <w:b/>
                <w:sz w:val="24"/>
              </w:rPr>
            </w:pPr>
            <w:r>
              <w:rPr>
                <w:b/>
                <w:sz w:val="24"/>
              </w:rPr>
              <w:t>环境要素</w:t>
            </w:r>
          </w:p>
        </w:tc>
        <w:tc>
          <w:tcPr>
            <w:tcW w:w="1610" w:type="dxa"/>
          </w:tcPr>
          <w:p>
            <w:pPr>
              <w:pStyle w:val="TableParagraph"/>
              <w:ind w:left="321"/>
              <w:jc w:val="left"/>
              <w:rPr>
                <w:b/>
                <w:sz w:val="24"/>
              </w:rPr>
            </w:pPr>
            <w:r>
              <w:rPr>
                <w:b/>
                <w:sz w:val="24"/>
              </w:rPr>
              <w:t>环境保护</w:t>
            </w:r>
          </w:p>
          <w:p>
            <w:pPr>
              <w:pStyle w:val="TableParagraph"/>
              <w:spacing w:line="292" w:lineRule="exact" w:before="4"/>
              <w:ind w:left="321"/>
              <w:jc w:val="left"/>
              <w:rPr>
                <w:b/>
                <w:sz w:val="24"/>
              </w:rPr>
            </w:pPr>
            <w:r>
              <w:rPr>
                <w:b/>
                <w:sz w:val="24"/>
              </w:rPr>
              <w:t>目标名称</w:t>
            </w:r>
          </w:p>
        </w:tc>
        <w:tc>
          <w:tcPr>
            <w:tcW w:w="1538" w:type="dxa"/>
          </w:tcPr>
          <w:p>
            <w:pPr>
              <w:pStyle w:val="TableParagraph"/>
              <w:ind w:right="157"/>
              <w:jc w:val="right"/>
              <w:rPr>
                <w:b/>
                <w:sz w:val="24"/>
              </w:rPr>
            </w:pPr>
            <w:r>
              <w:rPr>
                <w:b/>
                <w:w w:val="95"/>
                <w:sz w:val="24"/>
              </w:rPr>
              <w:t>距项目厂界</w:t>
            </w:r>
          </w:p>
          <w:p>
            <w:pPr>
              <w:pStyle w:val="TableParagraph"/>
              <w:spacing w:line="292" w:lineRule="exact" w:before="4"/>
              <w:ind w:right="174"/>
              <w:jc w:val="right"/>
              <w:rPr>
                <w:b/>
                <w:sz w:val="24"/>
              </w:rPr>
            </w:pPr>
            <w:r>
              <w:rPr>
                <w:b/>
                <w:w w:val="95"/>
                <w:sz w:val="24"/>
              </w:rPr>
              <w:t>最近距离（m</w:t>
            </w:r>
          </w:p>
        </w:tc>
        <w:tc>
          <w:tcPr>
            <w:tcW w:w="1046" w:type="dxa"/>
          </w:tcPr>
          <w:p>
            <w:pPr>
              <w:pStyle w:val="TableParagraph"/>
              <w:tabs>
                <w:tab w:pos="281" w:val="left" w:leader="none"/>
              </w:tabs>
              <w:spacing w:line="218" w:lineRule="auto" w:before="163"/>
              <w:ind w:left="-185" w:right="269"/>
              <w:jc w:val="right"/>
              <w:rPr>
                <w:b/>
                <w:sz w:val="24"/>
              </w:rPr>
            </w:pPr>
            <w:r>
              <w:rPr>
                <w:b/>
                <w:position w:val="-15"/>
                <w:sz w:val="24"/>
              </w:rPr>
              <w:t>）</w:t>
              <w:tab/>
            </w:r>
            <w:r>
              <w:rPr>
                <w:b/>
                <w:spacing w:val="-8"/>
                <w:sz w:val="24"/>
              </w:rPr>
              <w:t>方位</w:t>
            </w:r>
          </w:p>
        </w:tc>
        <w:tc>
          <w:tcPr>
            <w:tcW w:w="1809" w:type="dxa"/>
          </w:tcPr>
          <w:p>
            <w:pPr>
              <w:pStyle w:val="TableParagraph"/>
              <w:spacing w:before="156"/>
              <w:ind w:left="283" w:right="270"/>
              <w:rPr>
                <w:b/>
                <w:sz w:val="24"/>
              </w:rPr>
            </w:pPr>
            <w:r>
              <w:rPr>
                <w:b/>
                <w:sz w:val="24"/>
              </w:rPr>
              <w:t>规模（人）</w:t>
            </w:r>
          </w:p>
        </w:tc>
        <w:tc>
          <w:tcPr>
            <w:tcW w:w="1475" w:type="dxa"/>
          </w:tcPr>
          <w:p>
            <w:pPr>
              <w:pStyle w:val="TableParagraph"/>
              <w:spacing w:before="156"/>
              <w:ind w:left="256"/>
              <w:jc w:val="left"/>
              <w:rPr>
                <w:b/>
                <w:sz w:val="24"/>
              </w:rPr>
            </w:pPr>
            <w:r>
              <w:rPr>
                <w:b/>
                <w:sz w:val="24"/>
              </w:rPr>
              <w:t>保护级别</w:t>
            </w:r>
          </w:p>
        </w:tc>
      </w:tr>
      <w:tr>
        <w:trPr>
          <w:trHeight w:val="340" w:hRule="atLeast"/>
        </w:trPr>
        <w:tc>
          <w:tcPr>
            <w:tcW w:w="1080" w:type="dxa"/>
            <w:vMerge w:val="restart"/>
          </w:tcPr>
          <w:p>
            <w:pPr>
              <w:pStyle w:val="TableParagraph"/>
              <w:spacing w:before="9"/>
              <w:ind w:left="59"/>
              <w:jc w:val="left"/>
              <w:rPr>
                <w:sz w:val="24"/>
              </w:rPr>
            </w:pPr>
            <w:r>
              <w:rPr>
                <w:sz w:val="24"/>
              </w:rPr>
              <w:t>大气环境</w:t>
            </w:r>
          </w:p>
        </w:tc>
        <w:tc>
          <w:tcPr>
            <w:tcW w:w="1610" w:type="dxa"/>
          </w:tcPr>
          <w:p>
            <w:pPr>
              <w:pStyle w:val="TableParagraph"/>
              <w:spacing w:line="306" w:lineRule="exact" w:before="14"/>
              <w:ind w:left="63" w:right="56"/>
              <w:rPr>
                <w:sz w:val="24"/>
              </w:rPr>
            </w:pPr>
            <w:r>
              <w:rPr>
                <w:sz w:val="24"/>
              </w:rPr>
              <w:t>横里路村</w:t>
            </w:r>
          </w:p>
        </w:tc>
        <w:tc>
          <w:tcPr>
            <w:tcW w:w="1538" w:type="dxa"/>
          </w:tcPr>
          <w:p>
            <w:pPr>
              <w:pStyle w:val="TableParagraph"/>
              <w:spacing w:line="306" w:lineRule="exact" w:before="14"/>
              <w:ind w:left="528"/>
              <w:jc w:val="left"/>
              <w:rPr>
                <w:sz w:val="24"/>
              </w:rPr>
            </w:pPr>
            <w:r>
              <w:rPr>
                <w:sz w:val="24"/>
              </w:rPr>
              <w:t>4208</w:t>
            </w:r>
          </w:p>
        </w:tc>
        <w:tc>
          <w:tcPr>
            <w:tcW w:w="1046" w:type="dxa"/>
          </w:tcPr>
          <w:p>
            <w:pPr>
              <w:pStyle w:val="TableParagraph"/>
              <w:spacing w:line="306" w:lineRule="exact" w:before="14"/>
              <w:ind w:left="324" w:right="312"/>
              <w:rPr>
                <w:sz w:val="24"/>
              </w:rPr>
            </w:pPr>
            <w:r>
              <w:rPr>
                <w:sz w:val="24"/>
              </w:rPr>
              <w:t>SW</w:t>
            </w:r>
          </w:p>
        </w:tc>
        <w:tc>
          <w:tcPr>
            <w:tcW w:w="1809" w:type="dxa"/>
          </w:tcPr>
          <w:p>
            <w:pPr>
              <w:pStyle w:val="TableParagraph"/>
              <w:spacing w:line="306" w:lineRule="exact" w:before="14"/>
              <w:ind w:left="283" w:right="270"/>
              <w:rPr>
                <w:sz w:val="24"/>
              </w:rPr>
            </w:pPr>
            <w:r>
              <w:rPr>
                <w:sz w:val="24"/>
              </w:rPr>
              <w:t>520</w:t>
            </w:r>
          </w:p>
        </w:tc>
        <w:tc>
          <w:tcPr>
            <w:tcW w:w="1475" w:type="dxa"/>
            <w:vMerge w:val="restart"/>
          </w:tcPr>
          <w:p>
            <w:pPr>
              <w:pStyle w:val="TableParagraph"/>
              <w:ind w:left="61" w:right="44"/>
              <w:rPr>
                <w:sz w:val="24"/>
              </w:rPr>
            </w:pPr>
            <w:r>
              <w:rPr>
                <w:sz w:val="24"/>
              </w:rPr>
              <w:t>GB3095-1996</w:t>
            </w:r>
          </w:p>
          <w:p>
            <w:pPr>
              <w:pStyle w:val="TableParagraph"/>
              <w:spacing w:before="2"/>
              <w:ind w:left="61" w:right="44"/>
              <w:rPr>
                <w:sz w:val="24"/>
              </w:rPr>
            </w:pPr>
            <w:r>
              <w:rPr>
                <w:sz w:val="24"/>
              </w:rPr>
              <w:t>二类区</w:t>
            </w:r>
          </w:p>
        </w:tc>
      </w:tr>
      <w:tr>
        <w:trPr>
          <w:trHeight w:val="338" w:hRule="atLeast"/>
        </w:trPr>
        <w:tc>
          <w:tcPr>
            <w:tcW w:w="1080" w:type="dxa"/>
            <w:vMerge/>
            <w:tcBorders>
              <w:top w:val="nil"/>
            </w:tcBorders>
          </w:tcPr>
          <w:p>
            <w:pPr>
              <w:rPr>
                <w:sz w:val="2"/>
                <w:szCs w:val="2"/>
              </w:rPr>
            </w:pPr>
          </w:p>
        </w:tc>
        <w:tc>
          <w:tcPr>
            <w:tcW w:w="1610" w:type="dxa"/>
          </w:tcPr>
          <w:p>
            <w:pPr>
              <w:pStyle w:val="TableParagraph"/>
              <w:spacing w:line="304" w:lineRule="exact" w:before="14"/>
              <w:ind w:left="63" w:right="56"/>
              <w:rPr>
                <w:sz w:val="24"/>
              </w:rPr>
            </w:pPr>
            <w:r>
              <w:rPr>
                <w:sz w:val="24"/>
              </w:rPr>
              <w:t>韩家庙子村</w:t>
            </w:r>
          </w:p>
        </w:tc>
        <w:tc>
          <w:tcPr>
            <w:tcW w:w="1538" w:type="dxa"/>
          </w:tcPr>
          <w:p>
            <w:pPr>
              <w:pStyle w:val="TableParagraph"/>
              <w:spacing w:line="304" w:lineRule="exact" w:before="14"/>
              <w:ind w:left="528"/>
              <w:jc w:val="left"/>
              <w:rPr>
                <w:sz w:val="24"/>
              </w:rPr>
            </w:pPr>
            <w:r>
              <w:rPr>
                <w:sz w:val="24"/>
              </w:rPr>
              <w:t>3754</w:t>
            </w:r>
          </w:p>
        </w:tc>
        <w:tc>
          <w:tcPr>
            <w:tcW w:w="1046" w:type="dxa"/>
          </w:tcPr>
          <w:p>
            <w:pPr>
              <w:pStyle w:val="TableParagraph"/>
              <w:spacing w:line="304" w:lineRule="exact" w:before="14"/>
              <w:ind w:left="12"/>
              <w:rPr>
                <w:sz w:val="24"/>
              </w:rPr>
            </w:pPr>
            <w:r>
              <w:rPr>
                <w:sz w:val="24"/>
              </w:rPr>
              <w:t>W</w:t>
            </w:r>
          </w:p>
        </w:tc>
        <w:tc>
          <w:tcPr>
            <w:tcW w:w="1809" w:type="dxa"/>
          </w:tcPr>
          <w:p>
            <w:pPr>
              <w:pStyle w:val="TableParagraph"/>
              <w:spacing w:line="304" w:lineRule="exact" w:before="14"/>
              <w:ind w:left="283" w:right="270"/>
              <w:rPr>
                <w:sz w:val="24"/>
              </w:rPr>
            </w:pPr>
            <w:r>
              <w:rPr>
                <w:sz w:val="24"/>
              </w:rPr>
              <w:t>350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河北岭子村</w:t>
            </w:r>
          </w:p>
        </w:tc>
        <w:tc>
          <w:tcPr>
            <w:tcW w:w="1538" w:type="dxa"/>
          </w:tcPr>
          <w:p>
            <w:pPr>
              <w:pStyle w:val="TableParagraph"/>
              <w:spacing w:line="306" w:lineRule="exact" w:before="14"/>
              <w:ind w:left="528"/>
              <w:jc w:val="left"/>
              <w:rPr>
                <w:sz w:val="24"/>
              </w:rPr>
            </w:pPr>
            <w:r>
              <w:rPr>
                <w:sz w:val="24"/>
              </w:rPr>
              <w:t>2436</w:t>
            </w:r>
          </w:p>
        </w:tc>
        <w:tc>
          <w:tcPr>
            <w:tcW w:w="1046" w:type="dxa"/>
          </w:tcPr>
          <w:p>
            <w:pPr>
              <w:pStyle w:val="TableParagraph"/>
              <w:spacing w:line="306" w:lineRule="exact" w:before="14"/>
              <w:ind w:left="-185" w:right="329"/>
              <w:jc w:val="right"/>
              <w:rPr>
                <w:sz w:val="24"/>
              </w:rPr>
            </w:pPr>
            <w:r>
              <w:rPr>
                <w:sz w:val="24"/>
              </w:rPr>
              <w:t>SSE</w:t>
            </w:r>
          </w:p>
        </w:tc>
        <w:tc>
          <w:tcPr>
            <w:tcW w:w="1809" w:type="dxa"/>
          </w:tcPr>
          <w:p>
            <w:pPr>
              <w:pStyle w:val="TableParagraph"/>
              <w:spacing w:line="306" w:lineRule="exact" w:before="14"/>
              <w:ind w:left="283" w:right="270"/>
              <w:rPr>
                <w:sz w:val="24"/>
              </w:rPr>
            </w:pPr>
            <w:r>
              <w:rPr>
                <w:sz w:val="24"/>
              </w:rPr>
              <w:t>540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牟家河坞村</w:t>
            </w:r>
          </w:p>
        </w:tc>
        <w:tc>
          <w:tcPr>
            <w:tcW w:w="1538" w:type="dxa"/>
          </w:tcPr>
          <w:p>
            <w:pPr>
              <w:pStyle w:val="TableParagraph"/>
              <w:spacing w:line="306" w:lineRule="exact" w:before="14"/>
              <w:ind w:left="528"/>
              <w:jc w:val="left"/>
              <w:rPr>
                <w:sz w:val="24"/>
              </w:rPr>
            </w:pPr>
            <w:r>
              <w:rPr>
                <w:sz w:val="24"/>
              </w:rPr>
              <w:t>4592</w:t>
            </w:r>
          </w:p>
        </w:tc>
        <w:tc>
          <w:tcPr>
            <w:tcW w:w="1046" w:type="dxa"/>
          </w:tcPr>
          <w:p>
            <w:pPr>
              <w:pStyle w:val="TableParagraph"/>
              <w:spacing w:line="306" w:lineRule="exact" w:before="14"/>
              <w:ind w:left="12"/>
              <w:rPr>
                <w:sz w:val="24"/>
              </w:rPr>
            </w:pPr>
            <w:r>
              <w:rPr>
                <w:sz w:val="24"/>
              </w:rPr>
              <w:t>S</w:t>
            </w:r>
          </w:p>
        </w:tc>
        <w:tc>
          <w:tcPr>
            <w:tcW w:w="1809" w:type="dxa"/>
          </w:tcPr>
          <w:p>
            <w:pPr>
              <w:pStyle w:val="TableParagraph"/>
              <w:spacing w:line="306" w:lineRule="exact" w:before="14"/>
              <w:ind w:left="283" w:right="270"/>
              <w:rPr>
                <w:sz w:val="24"/>
              </w:rPr>
            </w:pPr>
            <w:r>
              <w:rPr>
                <w:sz w:val="24"/>
              </w:rPr>
              <w:t>290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崔家央子村</w:t>
            </w:r>
          </w:p>
        </w:tc>
        <w:tc>
          <w:tcPr>
            <w:tcW w:w="1538" w:type="dxa"/>
          </w:tcPr>
          <w:p>
            <w:pPr>
              <w:pStyle w:val="TableParagraph"/>
              <w:spacing w:line="306" w:lineRule="exact" w:before="14"/>
              <w:ind w:left="528"/>
              <w:jc w:val="left"/>
              <w:rPr>
                <w:sz w:val="24"/>
              </w:rPr>
            </w:pPr>
            <w:r>
              <w:rPr>
                <w:sz w:val="24"/>
              </w:rPr>
              <w:t>4034</w:t>
            </w:r>
          </w:p>
        </w:tc>
        <w:tc>
          <w:tcPr>
            <w:tcW w:w="1046" w:type="dxa"/>
          </w:tcPr>
          <w:p>
            <w:pPr>
              <w:pStyle w:val="TableParagraph"/>
              <w:spacing w:line="306" w:lineRule="exact" w:before="14"/>
              <w:ind w:left="324" w:right="312"/>
              <w:rPr>
                <w:sz w:val="24"/>
              </w:rPr>
            </w:pPr>
            <w:r>
              <w:rPr>
                <w:sz w:val="24"/>
              </w:rPr>
              <w:t>SE</w:t>
            </w:r>
          </w:p>
        </w:tc>
        <w:tc>
          <w:tcPr>
            <w:tcW w:w="1809" w:type="dxa"/>
          </w:tcPr>
          <w:p>
            <w:pPr>
              <w:pStyle w:val="TableParagraph"/>
              <w:spacing w:line="306" w:lineRule="exact" w:before="14"/>
              <w:ind w:left="283" w:right="270"/>
              <w:rPr>
                <w:sz w:val="24"/>
              </w:rPr>
            </w:pPr>
            <w:r>
              <w:rPr>
                <w:sz w:val="24"/>
              </w:rPr>
              <w:t>580</w:t>
            </w:r>
          </w:p>
        </w:tc>
        <w:tc>
          <w:tcPr>
            <w:tcW w:w="1475" w:type="dxa"/>
            <w:vMerge/>
            <w:tcBorders>
              <w:top w:val="nil"/>
            </w:tcBorders>
          </w:tcPr>
          <w:p>
            <w:pPr>
              <w:rPr>
                <w:sz w:val="2"/>
                <w:szCs w:val="2"/>
              </w:rPr>
            </w:pPr>
          </w:p>
        </w:tc>
      </w:tr>
    </w:tbl>
    <w:p>
      <w:pPr>
        <w:spacing w:after="0"/>
        <w:rPr>
          <w:sz w:val="2"/>
          <w:szCs w:val="2"/>
        </w:rPr>
        <w:sectPr>
          <w:pgSz w:w="11910" w:h="16840"/>
          <w:pgMar w:header="0" w:footer="984" w:top="1580" w:bottom="1180" w:left="1280" w:right="1280"/>
        </w:sectPr>
      </w:pPr>
    </w:p>
    <w:p>
      <w:pPr>
        <w:pStyle w:val="BodyText"/>
        <w:spacing w:before="1"/>
        <w:rPr>
          <w:b/>
          <w:sz w:val="8"/>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610"/>
        <w:gridCol w:w="1538"/>
        <w:gridCol w:w="1046"/>
        <w:gridCol w:w="1809"/>
        <w:gridCol w:w="1475"/>
      </w:tblGrid>
      <w:tr>
        <w:trPr>
          <w:trHeight w:val="340" w:hRule="atLeast"/>
        </w:trPr>
        <w:tc>
          <w:tcPr>
            <w:tcW w:w="1080" w:type="dxa"/>
            <w:vMerge w:val="restart"/>
          </w:tcPr>
          <w:p>
            <w:pPr>
              <w:pStyle w:val="TableParagraph"/>
              <w:jc w:val="left"/>
              <w:rPr>
                <w:rFonts w:ascii="Times New Roman"/>
                <w:sz w:val="24"/>
              </w:rPr>
            </w:pPr>
          </w:p>
        </w:tc>
        <w:tc>
          <w:tcPr>
            <w:tcW w:w="1610" w:type="dxa"/>
          </w:tcPr>
          <w:p>
            <w:pPr>
              <w:pStyle w:val="TableParagraph"/>
              <w:spacing w:line="306" w:lineRule="exact" w:before="14"/>
              <w:ind w:left="63" w:right="56"/>
              <w:rPr>
                <w:sz w:val="24"/>
              </w:rPr>
            </w:pPr>
            <w:r>
              <w:rPr>
                <w:sz w:val="24"/>
              </w:rPr>
              <w:t>海王大厦</w:t>
            </w:r>
          </w:p>
        </w:tc>
        <w:tc>
          <w:tcPr>
            <w:tcW w:w="1538" w:type="dxa"/>
          </w:tcPr>
          <w:p>
            <w:pPr>
              <w:pStyle w:val="TableParagraph"/>
              <w:spacing w:line="306" w:lineRule="exact" w:before="14"/>
              <w:ind w:left="508" w:right="500"/>
              <w:rPr>
                <w:sz w:val="24"/>
              </w:rPr>
            </w:pPr>
            <w:r>
              <w:rPr>
                <w:sz w:val="24"/>
              </w:rPr>
              <w:t>1496</w:t>
            </w:r>
          </w:p>
        </w:tc>
        <w:tc>
          <w:tcPr>
            <w:tcW w:w="1046" w:type="dxa"/>
          </w:tcPr>
          <w:p>
            <w:pPr>
              <w:pStyle w:val="TableParagraph"/>
              <w:spacing w:line="306" w:lineRule="exact" w:before="14"/>
              <w:ind w:left="324" w:right="312"/>
              <w:rPr>
                <w:sz w:val="24"/>
              </w:rPr>
            </w:pPr>
            <w:r>
              <w:rPr>
                <w:sz w:val="24"/>
              </w:rPr>
              <w:t>SE</w:t>
            </w:r>
          </w:p>
        </w:tc>
        <w:tc>
          <w:tcPr>
            <w:tcW w:w="1809" w:type="dxa"/>
          </w:tcPr>
          <w:p>
            <w:pPr>
              <w:pStyle w:val="TableParagraph"/>
              <w:spacing w:line="306" w:lineRule="exact" w:before="14"/>
              <w:ind w:left="283" w:right="270"/>
              <w:rPr>
                <w:sz w:val="24"/>
              </w:rPr>
            </w:pPr>
            <w:r>
              <w:rPr>
                <w:sz w:val="24"/>
              </w:rPr>
              <w:t>60</w:t>
            </w:r>
          </w:p>
        </w:tc>
        <w:tc>
          <w:tcPr>
            <w:tcW w:w="1475" w:type="dxa"/>
            <w:vMerge w:val="restart"/>
          </w:tcPr>
          <w:p>
            <w:pPr>
              <w:pStyle w:val="TableParagraph"/>
              <w:jc w:val="left"/>
              <w:rPr>
                <w:rFonts w:ascii="Times New Roman"/>
                <w:sz w:val="24"/>
              </w:rPr>
            </w:pPr>
          </w:p>
        </w:tc>
      </w:tr>
      <w:tr>
        <w:trPr>
          <w:trHeight w:val="337" w:hRule="atLeast"/>
        </w:trPr>
        <w:tc>
          <w:tcPr>
            <w:tcW w:w="1080" w:type="dxa"/>
            <w:vMerge/>
            <w:tcBorders>
              <w:top w:val="nil"/>
            </w:tcBorders>
          </w:tcPr>
          <w:p>
            <w:pPr>
              <w:rPr>
                <w:sz w:val="2"/>
                <w:szCs w:val="2"/>
              </w:rPr>
            </w:pPr>
          </w:p>
        </w:tc>
        <w:tc>
          <w:tcPr>
            <w:tcW w:w="1610" w:type="dxa"/>
          </w:tcPr>
          <w:p>
            <w:pPr>
              <w:pStyle w:val="TableParagraph"/>
              <w:spacing w:line="304" w:lineRule="exact" w:before="14"/>
              <w:ind w:left="63" w:right="56"/>
              <w:rPr>
                <w:sz w:val="24"/>
              </w:rPr>
            </w:pPr>
            <w:r>
              <w:rPr>
                <w:sz w:val="24"/>
              </w:rPr>
              <w:t>海正香醍湾</w:t>
            </w:r>
          </w:p>
        </w:tc>
        <w:tc>
          <w:tcPr>
            <w:tcW w:w="1538" w:type="dxa"/>
          </w:tcPr>
          <w:p>
            <w:pPr>
              <w:pStyle w:val="TableParagraph"/>
              <w:spacing w:line="304" w:lineRule="exact" w:before="14"/>
              <w:ind w:left="508" w:right="500"/>
              <w:rPr>
                <w:sz w:val="24"/>
              </w:rPr>
            </w:pPr>
            <w:r>
              <w:rPr>
                <w:sz w:val="24"/>
              </w:rPr>
              <w:t>1958</w:t>
            </w:r>
          </w:p>
        </w:tc>
        <w:tc>
          <w:tcPr>
            <w:tcW w:w="1046" w:type="dxa"/>
          </w:tcPr>
          <w:p>
            <w:pPr>
              <w:pStyle w:val="TableParagraph"/>
              <w:spacing w:line="304" w:lineRule="exact" w:before="14"/>
              <w:ind w:left="324" w:right="312"/>
              <w:rPr>
                <w:sz w:val="24"/>
              </w:rPr>
            </w:pPr>
            <w:r>
              <w:rPr>
                <w:sz w:val="24"/>
              </w:rPr>
              <w:t>SE</w:t>
            </w:r>
          </w:p>
        </w:tc>
        <w:tc>
          <w:tcPr>
            <w:tcW w:w="1809" w:type="dxa"/>
          </w:tcPr>
          <w:p>
            <w:pPr>
              <w:pStyle w:val="TableParagraph"/>
              <w:spacing w:line="304" w:lineRule="exact" w:before="14"/>
              <w:ind w:left="283" w:right="270"/>
              <w:rPr>
                <w:sz w:val="24"/>
              </w:rPr>
            </w:pPr>
            <w:r>
              <w:rPr>
                <w:sz w:val="24"/>
              </w:rPr>
              <w:t>400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滨海职工家园</w:t>
            </w:r>
          </w:p>
        </w:tc>
        <w:tc>
          <w:tcPr>
            <w:tcW w:w="1538" w:type="dxa"/>
          </w:tcPr>
          <w:p>
            <w:pPr>
              <w:pStyle w:val="TableParagraph"/>
              <w:spacing w:line="306" w:lineRule="exact" w:before="14"/>
              <w:ind w:left="508" w:right="500"/>
              <w:rPr>
                <w:sz w:val="24"/>
              </w:rPr>
            </w:pPr>
            <w:r>
              <w:rPr>
                <w:sz w:val="24"/>
              </w:rPr>
              <w:t>2524</w:t>
            </w:r>
          </w:p>
        </w:tc>
        <w:tc>
          <w:tcPr>
            <w:tcW w:w="1046" w:type="dxa"/>
          </w:tcPr>
          <w:p>
            <w:pPr>
              <w:pStyle w:val="TableParagraph"/>
              <w:spacing w:line="306" w:lineRule="exact" w:before="14"/>
              <w:ind w:left="324" w:right="312"/>
              <w:rPr>
                <w:sz w:val="24"/>
              </w:rPr>
            </w:pPr>
            <w:r>
              <w:rPr>
                <w:sz w:val="24"/>
              </w:rPr>
              <w:t>SE</w:t>
            </w:r>
          </w:p>
        </w:tc>
        <w:tc>
          <w:tcPr>
            <w:tcW w:w="1809" w:type="dxa"/>
          </w:tcPr>
          <w:p>
            <w:pPr>
              <w:pStyle w:val="TableParagraph"/>
              <w:spacing w:line="306" w:lineRule="exact" w:before="14"/>
              <w:ind w:left="283" w:right="270"/>
              <w:rPr>
                <w:sz w:val="24"/>
              </w:rPr>
            </w:pPr>
            <w:r>
              <w:rPr>
                <w:sz w:val="24"/>
              </w:rPr>
              <w:t>560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滨城绿洲</w:t>
            </w:r>
          </w:p>
        </w:tc>
        <w:tc>
          <w:tcPr>
            <w:tcW w:w="1538" w:type="dxa"/>
          </w:tcPr>
          <w:p>
            <w:pPr>
              <w:pStyle w:val="TableParagraph"/>
              <w:spacing w:line="306" w:lineRule="exact" w:before="14"/>
              <w:ind w:left="508" w:right="500"/>
              <w:rPr>
                <w:sz w:val="24"/>
              </w:rPr>
            </w:pPr>
            <w:r>
              <w:rPr>
                <w:sz w:val="24"/>
              </w:rPr>
              <w:t>2083</w:t>
            </w:r>
          </w:p>
        </w:tc>
        <w:tc>
          <w:tcPr>
            <w:tcW w:w="1046" w:type="dxa"/>
          </w:tcPr>
          <w:p>
            <w:pPr>
              <w:pStyle w:val="TableParagraph"/>
              <w:spacing w:line="306" w:lineRule="exact" w:before="14"/>
              <w:ind w:left="324" w:right="312"/>
              <w:rPr>
                <w:sz w:val="24"/>
              </w:rPr>
            </w:pPr>
            <w:r>
              <w:rPr>
                <w:sz w:val="24"/>
              </w:rPr>
              <w:t>ESE</w:t>
            </w:r>
          </w:p>
        </w:tc>
        <w:tc>
          <w:tcPr>
            <w:tcW w:w="1809" w:type="dxa"/>
          </w:tcPr>
          <w:p>
            <w:pPr>
              <w:pStyle w:val="TableParagraph"/>
              <w:spacing w:line="306" w:lineRule="exact" w:before="14"/>
              <w:ind w:left="283" w:right="270"/>
              <w:rPr>
                <w:sz w:val="24"/>
              </w:rPr>
            </w:pPr>
            <w:r>
              <w:rPr>
                <w:sz w:val="24"/>
              </w:rPr>
              <w:t>480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华润世家</w:t>
            </w:r>
          </w:p>
        </w:tc>
        <w:tc>
          <w:tcPr>
            <w:tcW w:w="1538" w:type="dxa"/>
          </w:tcPr>
          <w:p>
            <w:pPr>
              <w:pStyle w:val="TableParagraph"/>
              <w:spacing w:line="306" w:lineRule="exact" w:before="14"/>
              <w:ind w:left="508" w:right="500"/>
              <w:rPr>
                <w:sz w:val="24"/>
              </w:rPr>
            </w:pPr>
            <w:r>
              <w:rPr>
                <w:sz w:val="24"/>
              </w:rPr>
              <w:t>2301</w:t>
            </w:r>
          </w:p>
        </w:tc>
        <w:tc>
          <w:tcPr>
            <w:tcW w:w="1046" w:type="dxa"/>
          </w:tcPr>
          <w:p>
            <w:pPr>
              <w:pStyle w:val="TableParagraph"/>
              <w:spacing w:line="306" w:lineRule="exact" w:before="14"/>
              <w:ind w:left="324" w:right="312"/>
              <w:rPr>
                <w:sz w:val="24"/>
              </w:rPr>
            </w:pPr>
            <w:r>
              <w:rPr>
                <w:sz w:val="24"/>
              </w:rPr>
              <w:t>ESE</w:t>
            </w:r>
          </w:p>
        </w:tc>
        <w:tc>
          <w:tcPr>
            <w:tcW w:w="1809" w:type="dxa"/>
          </w:tcPr>
          <w:p>
            <w:pPr>
              <w:pStyle w:val="TableParagraph"/>
              <w:spacing w:line="306" w:lineRule="exact" w:before="14"/>
              <w:ind w:left="283" w:right="270"/>
              <w:rPr>
                <w:sz w:val="24"/>
              </w:rPr>
            </w:pPr>
            <w:r>
              <w:rPr>
                <w:sz w:val="24"/>
              </w:rPr>
              <w:t>340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固堤场村</w:t>
            </w:r>
          </w:p>
        </w:tc>
        <w:tc>
          <w:tcPr>
            <w:tcW w:w="1538" w:type="dxa"/>
          </w:tcPr>
          <w:p>
            <w:pPr>
              <w:pStyle w:val="TableParagraph"/>
              <w:spacing w:line="306" w:lineRule="exact" w:before="14"/>
              <w:ind w:left="508" w:right="500"/>
              <w:rPr>
                <w:sz w:val="24"/>
              </w:rPr>
            </w:pPr>
            <w:r>
              <w:rPr>
                <w:sz w:val="24"/>
              </w:rPr>
              <w:t>2184</w:t>
            </w:r>
          </w:p>
        </w:tc>
        <w:tc>
          <w:tcPr>
            <w:tcW w:w="1046" w:type="dxa"/>
          </w:tcPr>
          <w:p>
            <w:pPr>
              <w:pStyle w:val="TableParagraph"/>
              <w:spacing w:line="306" w:lineRule="exact" w:before="14"/>
              <w:ind w:left="324" w:right="312"/>
              <w:rPr>
                <w:sz w:val="24"/>
              </w:rPr>
            </w:pPr>
            <w:r>
              <w:rPr>
                <w:sz w:val="24"/>
              </w:rPr>
              <w:t>ENE</w:t>
            </w:r>
          </w:p>
        </w:tc>
        <w:tc>
          <w:tcPr>
            <w:tcW w:w="1809" w:type="dxa"/>
          </w:tcPr>
          <w:p>
            <w:pPr>
              <w:pStyle w:val="TableParagraph"/>
              <w:spacing w:line="306" w:lineRule="exact" w:before="14"/>
              <w:ind w:left="283" w:right="270"/>
              <w:rPr>
                <w:sz w:val="24"/>
              </w:rPr>
            </w:pPr>
            <w:r>
              <w:rPr>
                <w:sz w:val="24"/>
              </w:rPr>
              <w:t>360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鼎盛苑小区</w:t>
            </w:r>
          </w:p>
        </w:tc>
        <w:tc>
          <w:tcPr>
            <w:tcW w:w="1538" w:type="dxa"/>
          </w:tcPr>
          <w:p>
            <w:pPr>
              <w:pStyle w:val="TableParagraph"/>
              <w:spacing w:line="306" w:lineRule="exact" w:before="14"/>
              <w:ind w:left="508" w:right="500"/>
              <w:rPr>
                <w:sz w:val="24"/>
              </w:rPr>
            </w:pPr>
            <w:r>
              <w:rPr>
                <w:sz w:val="24"/>
              </w:rPr>
              <w:t>1691</w:t>
            </w:r>
          </w:p>
        </w:tc>
        <w:tc>
          <w:tcPr>
            <w:tcW w:w="1046" w:type="dxa"/>
          </w:tcPr>
          <w:p>
            <w:pPr>
              <w:pStyle w:val="TableParagraph"/>
              <w:spacing w:line="306" w:lineRule="exact" w:before="14"/>
              <w:ind w:left="324" w:right="312"/>
              <w:rPr>
                <w:sz w:val="24"/>
              </w:rPr>
            </w:pPr>
            <w:r>
              <w:rPr>
                <w:sz w:val="24"/>
              </w:rPr>
              <w:t>ENE</w:t>
            </w:r>
          </w:p>
        </w:tc>
        <w:tc>
          <w:tcPr>
            <w:tcW w:w="1809" w:type="dxa"/>
          </w:tcPr>
          <w:p>
            <w:pPr>
              <w:pStyle w:val="TableParagraph"/>
              <w:spacing w:line="306" w:lineRule="exact" w:before="14"/>
              <w:ind w:left="283" w:right="270"/>
              <w:rPr>
                <w:sz w:val="24"/>
              </w:rPr>
            </w:pPr>
            <w:r>
              <w:rPr>
                <w:sz w:val="24"/>
              </w:rPr>
              <w:t>660</w:t>
            </w:r>
          </w:p>
        </w:tc>
        <w:tc>
          <w:tcPr>
            <w:tcW w:w="1475" w:type="dxa"/>
            <w:vMerge/>
            <w:tcBorders>
              <w:top w:val="nil"/>
            </w:tcBorders>
          </w:tcPr>
          <w:p>
            <w:pPr>
              <w:rPr>
                <w:sz w:val="2"/>
                <w:szCs w:val="2"/>
              </w:rPr>
            </w:pPr>
          </w:p>
        </w:tc>
      </w:tr>
      <w:tr>
        <w:trPr>
          <w:trHeight w:val="337" w:hRule="atLeast"/>
        </w:trPr>
        <w:tc>
          <w:tcPr>
            <w:tcW w:w="1080" w:type="dxa"/>
            <w:vMerge/>
            <w:tcBorders>
              <w:top w:val="nil"/>
            </w:tcBorders>
          </w:tcPr>
          <w:p>
            <w:pPr>
              <w:rPr>
                <w:sz w:val="2"/>
                <w:szCs w:val="2"/>
              </w:rPr>
            </w:pPr>
          </w:p>
        </w:tc>
        <w:tc>
          <w:tcPr>
            <w:tcW w:w="1610" w:type="dxa"/>
          </w:tcPr>
          <w:p>
            <w:pPr>
              <w:pStyle w:val="TableParagraph"/>
              <w:spacing w:line="304" w:lineRule="exact" w:before="14"/>
              <w:ind w:left="63" w:right="56"/>
              <w:rPr>
                <w:sz w:val="24"/>
              </w:rPr>
            </w:pPr>
            <w:r>
              <w:rPr>
                <w:sz w:val="24"/>
              </w:rPr>
              <w:t>达美水岸</w:t>
            </w:r>
          </w:p>
        </w:tc>
        <w:tc>
          <w:tcPr>
            <w:tcW w:w="1538" w:type="dxa"/>
          </w:tcPr>
          <w:p>
            <w:pPr>
              <w:pStyle w:val="TableParagraph"/>
              <w:spacing w:line="304" w:lineRule="exact" w:before="14"/>
              <w:ind w:left="508" w:right="500"/>
              <w:rPr>
                <w:sz w:val="24"/>
              </w:rPr>
            </w:pPr>
            <w:r>
              <w:rPr>
                <w:sz w:val="24"/>
              </w:rPr>
              <w:t>2184</w:t>
            </w:r>
          </w:p>
        </w:tc>
        <w:tc>
          <w:tcPr>
            <w:tcW w:w="1046" w:type="dxa"/>
          </w:tcPr>
          <w:p>
            <w:pPr>
              <w:pStyle w:val="TableParagraph"/>
              <w:spacing w:line="304" w:lineRule="exact" w:before="14"/>
              <w:ind w:left="12"/>
              <w:rPr>
                <w:sz w:val="24"/>
              </w:rPr>
            </w:pPr>
            <w:r>
              <w:rPr>
                <w:sz w:val="24"/>
              </w:rPr>
              <w:t>E</w:t>
            </w:r>
          </w:p>
        </w:tc>
        <w:tc>
          <w:tcPr>
            <w:tcW w:w="1809" w:type="dxa"/>
          </w:tcPr>
          <w:p>
            <w:pPr>
              <w:pStyle w:val="TableParagraph"/>
              <w:spacing w:line="304" w:lineRule="exact" w:before="14"/>
              <w:ind w:left="283" w:right="270"/>
              <w:rPr>
                <w:sz w:val="24"/>
              </w:rPr>
            </w:pPr>
            <w:r>
              <w:rPr>
                <w:sz w:val="24"/>
              </w:rPr>
              <w:t>490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央子镇</w:t>
            </w:r>
          </w:p>
        </w:tc>
        <w:tc>
          <w:tcPr>
            <w:tcW w:w="1538" w:type="dxa"/>
          </w:tcPr>
          <w:p>
            <w:pPr>
              <w:pStyle w:val="TableParagraph"/>
              <w:spacing w:line="306" w:lineRule="exact" w:before="14"/>
              <w:ind w:left="508" w:right="500"/>
              <w:rPr>
                <w:sz w:val="24"/>
              </w:rPr>
            </w:pPr>
            <w:r>
              <w:rPr>
                <w:sz w:val="24"/>
              </w:rPr>
              <w:t>2308</w:t>
            </w:r>
          </w:p>
        </w:tc>
        <w:tc>
          <w:tcPr>
            <w:tcW w:w="1046" w:type="dxa"/>
          </w:tcPr>
          <w:p>
            <w:pPr>
              <w:pStyle w:val="TableParagraph"/>
              <w:spacing w:line="306" w:lineRule="exact" w:before="14"/>
              <w:ind w:left="324" w:right="312"/>
              <w:rPr>
                <w:sz w:val="24"/>
              </w:rPr>
            </w:pPr>
            <w:r>
              <w:rPr>
                <w:sz w:val="24"/>
              </w:rPr>
              <w:t>ENE</w:t>
            </w:r>
          </w:p>
        </w:tc>
        <w:tc>
          <w:tcPr>
            <w:tcW w:w="1809" w:type="dxa"/>
          </w:tcPr>
          <w:p>
            <w:pPr>
              <w:pStyle w:val="TableParagraph"/>
              <w:spacing w:line="306" w:lineRule="exact" w:before="14"/>
              <w:ind w:left="283" w:right="270"/>
              <w:rPr>
                <w:sz w:val="24"/>
              </w:rPr>
            </w:pPr>
            <w:r>
              <w:rPr>
                <w:sz w:val="24"/>
              </w:rPr>
              <w:t>2000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林家央子村</w:t>
            </w:r>
          </w:p>
        </w:tc>
        <w:tc>
          <w:tcPr>
            <w:tcW w:w="1538" w:type="dxa"/>
          </w:tcPr>
          <w:p>
            <w:pPr>
              <w:pStyle w:val="TableParagraph"/>
              <w:spacing w:line="306" w:lineRule="exact" w:before="14"/>
              <w:ind w:left="508" w:right="500"/>
              <w:rPr>
                <w:sz w:val="24"/>
              </w:rPr>
            </w:pPr>
            <w:r>
              <w:rPr>
                <w:sz w:val="24"/>
              </w:rPr>
              <w:t>2619</w:t>
            </w:r>
          </w:p>
        </w:tc>
        <w:tc>
          <w:tcPr>
            <w:tcW w:w="1046" w:type="dxa"/>
          </w:tcPr>
          <w:p>
            <w:pPr>
              <w:pStyle w:val="TableParagraph"/>
              <w:spacing w:line="306" w:lineRule="exact" w:before="14"/>
              <w:ind w:left="324" w:right="312"/>
              <w:rPr>
                <w:sz w:val="24"/>
              </w:rPr>
            </w:pPr>
            <w:r>
              <w:rPr>
                <w:sz w:val="24"/>
              </w:rPr>
              <w:t>NE</w:t>
            </w:r>
          </w:p>
        </w:tc>
        <w:tc>
          <w:tcPr>
            <w:tcW w:w="1809" w:type="dxa"/>
          </w:tcPr>
          <w:p>
            <w:pPr>
              <w:pStyle w:val="TableParagraph"/>
              <w:spacing w:line="306" w:lineRule="exact" w:before="14"/>
              <w:ind w:left="283" w:right="270"/>
              <w:rPr>
                <w:sz w:val="24"/>
              </w:rPr>
            </w:pPr>
            <w:r>
              <w:rPr>
                <w:sz w:val="24"/>
              </w:rPr>
              <w:t>300</w:t>
            </w:r>
          </w:p>
        </w:tc>
        <w:tc>
          <w:tcPr>
            <w:tcW w:w="1475" w:type="dxa"/>
            <w:vMerge/>
            <w:tcBorders>
              <w:top w:val="nil"/>
            </w:tcBorders>
          </w:tcPr>
          <w:p>
            <w:pPr>
              <w:rPr>
                <w:sz w:val="2"/>
                <w:szCs w:val="2"/>
              </w:rPr>
            </w:pP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崔家央子村</w:t>
            </w:r>
          </w:p>
        </w:tc>
        <w:tc>
          <w:tcPr>
            <w:tcW w:w="1538" w:type="dxa"/>
          </w:tcPr>
          <w:p>
            <w:pPr>
              <w:pStyle w:val="TableParagraph"/>
              <w:spacing w:line="306" w:lineRule="exact" w:before="14"/>
              <w:ind w:left="508" w:right="500"/>
              <w:rPr>
                <w:sz w:val="24"/>
              </w:rPr>
            </w:pPr>
            <w:r>
              <w:rPr>
                <w:sz w:val="24"/>
              </w:rPr>
              <w:t>2998</w:t>
            </w:r>
          </w:p>
        </w:tc>
        <w:tc>
          <w:tcPr>
            <w:tcW w:w="1046" w:type="dxa"/>
          </w:tcPr>
          <w:p>
            <w:pPr>
              <w:pStyle w:val="TableParagraph"/>
              <w:spacing w:line="306" w:lineRule="exact" w:before="14"/>
              <w:ind w:left="324" w:right="312"/>
              <w:rPr>
                <w:sz w:val="24"/>
              </w:rPr>
            </w:pPr>
            <w:r>
              <w:rPr>
                <w:sz w:val="24"/>
              </w:rPr>
              <w:t>NE</w:t>
            </w:r>
          </w:p>
        </w:tc>
        <w:tc>
          <w:tcPr>
            <w:tcW w:w="1809" w:type="dxa"/>
          </w:tcPr>
          <w:p>
            <w:pPr>
              <w:pStyle w:val="TableParagraph"/>
              <w:spacing w:line="306" w:lineRule="exact" w:before="14"/>
              <w:ind w:left="283" w:right="270"/>
              <w:rPr>
                <w:sz w:val="24"/>
              </w:rPr>
            </w:pPr>
            <w:r>
              <w:rPr>
                <w:sz w:val="24"/>
              </w:rPr>
              <w:t>380</w:t>
            </w:r>
          </w:p>
        </w:tc>
        <w:tc>
          <w:tcPr>
            <w:tcW w:w="1475" w:type="dxa"/>
            <w:vMerge/>
            <w:tcBorders>
              <w:top w:val="nil"/>
            </w:tcBorders>
          </w:tcPr>
          <w:p>
            <w:pPr>
              <w:rPr>
                <w:sz w:val="2"/>
                <w:szCs w:val="2"/>
              </w:rPr>
            </w:pPr>
          </w:p>
        </w:tc>
      </w:tr>
      <w:tr>
        <w:trPr>
          <w:trHeight w:val="340" w:hRule="atLeast"/>
        </w:trPr>
        <w:tc>
          <w:tcPr>
            <w:tcW w:w="1080" w:type="dxa"/>
            <w:vMerge w:val="restart"/>
          </w:tcPr>
          <w:p>
            <w:pPr>
              <w:pStyle w:val="TableParagraph"/>
              <w:spacing w:before="184"/>
              <w:ind w:left="179"/>
              <w:jc w:val="left"/>
              <w:rPr>
                <w:sz w:val="24"/>
              </w:rPr>
            </w:pPr>
            <w:r>
              <w:rPr>
                <w:sz w:val="24"/>
              </w:rPr>
              <w:t>地表水</w:t>
            </w:r>
          </w:p>
        </w:tc>
        <w:tc>
          <w:tcPr>
            <w:tcW w:w="1610" w:type="dxa"/>
          </w:tcPr>
          <w:p>
            <w:pPr>
              <w:pStyle w:val="TableParagraph"/>
              <w:spacing w:line="306" w:lineRule="exact" w:before="14"/>
              <w:ind w:left="63" w:right="56"/>
              <w:rPr>
                <w:sz w:val="24"/>
              </w:rPr>
            </w:pPr>
            <w:r>
              <w:rPr>
                <w:sz w:val="24"/>
              </w:rPr>
              <w:t>崔家河</w:t>
            </w:r>
          </w:p>
        </w:tc>
        <w:tc>
          <w:tcPr>
            <w:tcW w:w="1538" w:type="dxa"/>
          </w:tcPr>
          <w:p>
            <w:pPr>
              <w:pStyle w:val="TableParagraph"/>
              <w:spacing w:line="306" w:lineRule="exact" w:before="14"/>
              <w:ind w:left="508" w:right="500"/>
              <w:rPr>
                <w:sz w:val="24"/>
              </w:rPr>
            </w:pPr>
            <w:r>
              <w:rPr>
                <w:sz w:val="24"/>
              </w:rPr>
              <w:t>1860</w:t>
            </w:r>
          </w:p>
        </w:tc>
        <w:tc>
          <w:tcPr>
            <w:tcW w:w="1046" w:type="dxa"/>
          </w:tcPr>
          <w:p>
            <w:pPr>
              <w:pStyle w:val="TableParagraph"/>
              <w:spacing w:line="306" w:lineRule="exact" w:before="14"/>
              <w:ind w:left="12"/>
              <w:rPr>
                <w:sz w:val="24"/>
              </w:rPr>
            </w:pPr>
            <w:r>
              <w:rPr>
                <w:sz w:val="24"/>
              </w:rPr>
              <w:t>W</w:t>
            </w:r>
          </w:p>
        </w:tc>
        <w:tc>
          <w:tcPr>
            <w:tcW w:w="1809" w:type="dxa"/>
            <w:vMerge w:val="restart"/>
          </w:tcPr>
          <w:p>
            <w:pPr>
              <w:pStyle w:val="TableParagraph"/>
              <w:spacing w:before="184"/>
              <w:ind w:left="283" w:right="270"/>
              <w:rPr>
                <w:sz w:val="24"/>
              </w:rPr>
            </w:pPr>
            <w:r>
              <w:rPr>
                <w:sz w:val="24"/>
              </w:rPr>
              <w:t>小河</w:t>
            </w:r>
          </w:p>
        </w:tc>
        <w:tc>
          <w:tcPr>
            <w:tcW w:w="1475" w:type="dxa"/>
            <w:vMerge w:val="restart"/>
          </w:tcPr>
          <w:p>
            <w:pPr>
              <w:pStyle w:val="TableParagraph"/>
              <w:spacing w:line="242" w:lineRule="auto" w:before="28"/>
              <w:ind w:left="261" w:right="121" w:hanging="120"/>
              <w:jc w:val="left"/>
              <w:rPr>
                <w:sz w:val="24"/>
              </w:rPr>
            </w:pPr>
            <w:r>
              <w:rPr>
                <w:sz w:val="24"/>
              </w:rPr>
              <w:t>地表水环境质量Ⅲ类</w:t>
            </w:r>
          </w:p>
        </w:tc>
      </w:tr>
      <w:tr>
        <w:trPr>
          <w:trHeight w:val="340" w:hRule="atLeast"/>
        </w:trPr>
        <w:tc>
          <w:tcPr>
            <w:tcW w:w="1080" w:type="dxa"/>
            <w:vMerge/>
            <w:tcBorders>
              <w:top w:val="nil"/>
            </w:tcBorders>
          </w:tcPr>
          <w:p>
            <w:pPr>
              <w:rPr>
                <w:sz w:val="2"/>
                <w:szCs w:val="2"/>
              </w:rPr>
            </w:pPr>
          </w:p>
        </w:tc>
        <w:tc>
          <w:tcPr>
            <w:tcW w:w="1610" w:type="dxa"/>
          </w:tcPr>
          <w:p>
            <w:pPr>
              <w:pStyle w:val="TableParagraph"/>
              <w:spacing w:line="306" w:lineRule="exact" w:before="14"/>
              <w:ind w:left="63" w:right="56"/>
              <w:rPr>
                <w:sz w:val="24"/>
              </w:rPr>
            </w:pPr>
            <w:r>
              <w:rPr>
                <w:sz w:val="24"/>
              </w:rPr>
              <w:t>丹河</w:t>
            </w:r>
          </w:p>
        </w:tc>
        <w:tc>
          <w:tcPr>
            <w:tcW w:w="1538" w:type="dxa"/>
          </w:tcPr>
          <w:p>
            <w:pPr>
              <w:pStyle w:val="TableParagraph"/>
              <w:spacing w:line="306" w:lineRule="exact" w:before="14"/>
              <w:ind w:left="508" w:right="500"/>
              <w:rPr>
                <w:sz w:val="24"/>
              </w:rPr>
            </w:pPr>
            <w:r>
              <w:rPr>
                <w:sz w:val="24"/>
              </w:rPr>
              <w:t>3900</w:t>
            </w:r>
          </w:p>
        </w:tc>
        <w:tc>
          <w:tcPr>
            <w:tcW w:w="1046" w:type="dxa"/>
          </w:tcPr>
          <w:p>
            <w:pPr>
              <w:pStyle w:val="TableParagraph"/>
              <w:spacing w:line="306" w:lineRule="exact" w:before="14"/>
              <w:ind w:left="12"/>
              <w:rPr>
                <w:sz w:val="24"/>
              </w:rPr>
            </w:pPr>
            <w:r>
              <w:rPr>
                <w:sz w:val="24"/>
              </w:rPr>
              <w:t>W</w:t>
            </w:r>
          </w:p>
        </w:tc>
        <w:tc>
          <w:tcPr>
            <w:tcW w:w="1809" w:type="dxa"/>
            <w:vMerge/>
            <w:tcBorders>
              <w:top w:val="nil"/>
            </w:tcBorders>
          </w:tcPr>
          <w:p>
            <w:pPr>
              <w:rPr>
                <w:sz w:val="2"/>
                <w:szCs w:val="2"/>
              </w:rPr>
            </w:pPr>
          </w:p>
        </w:tc>
        <w:tc>
          <w:tcPr>
            <w:tcW w:w="1475" w:type="dxa"/>
            <w:vMerge/>
            <w:tcBorders>
              <w:top w:val="nil"/>
            </w:tcBorders>
          </w:tcPr>
          <w:p>
            <w:pPr>
              <w:rPr>
                <w:sz w:val="2"/>
                <w:szCs w:val="2"/>
              </w:rPr>
            </w:pPr>
          </w:p>
        </w:tc>
      </w:tr>
      <w:tr>
        <w:trPr>
          <w:trHeight w:val="621" w:hRule="atLeast"/>
        </w:trPr>
        <w:tc>
          <w:tcPr>
            <w:tcW w:w="1080" w:type="dxa"/>
          </w:tcPr>
          <w:p>
            <w:pPr>
              <w:pStyle w:val="TableParagraph"/>
              <w:spacing w:before="156"/>
              <w:ind w:left="141" w:right="132"/>
              <w:rPr>
                <w:sz w:val="24"/>
              </w:rPr>
            </w:pPr>
            <w:r>
              <w:rPr>
                <w:sz w:val="24"/>
              </w:rPr>
              <w:t>地下水</w:t>
            </w:r>
          </w:p>
        </w:tc>
        <w:tc>
          <w:tcPr>
            <w:tcW w:w="1610" w:type="dxa"/>
          </w:tcPr>
          <w:p>
            <w:pPr>
              <w:pStyle w:val="TableParagraph"/>
              <w:spacing w:before="156"/>
              <w:ind w:left="63" w:right="56"/>
              <w:rPr>
                <w:sz w:val="24"/>
              </w:rPr>
            </w:pPr>
            <w:r>
              <w:rPr>
                <w:sz w:val="24"/>
              </w:rPr>
              <w:t>浅层地下水</w:t>
            </w:r>
          </w:p>
        </w:tc>
        <w:tc>
          <w:tcPr>
            <w:tcW w:w="1538" w:type="dxa"/>
          </w:tcPr>
          <w:p>
            <w:pPr>
              <w:pStyle w:val="TableParagraph"/>
              <w:spacing w:before="156"/>
              <w:ind w:left="8"/>
              <w:rPr>
                <w:sz w:val="24"/>
              </w:rPr>
            </w:pPr>
            <w:r>
              <w:rPr>
                <w:sz w:val="24"/>
              </w:rPr>
              <w:t>/</w:t>
            </w:r>
          </w:p>
        </w:tc>
        <w:tc>
          <w:tcPr>
            <w:tcW w:w="1046" w:type="dxa"/>
          </w:tcPr>
          <w:p>
            <w:pPr>
              <w:pStyle w:val="TableParagraph"/>
              <w:spacing w:before="156"/>
              <w:ind w:left="12"/>
              <w:rPr>
                <w:sz w:val="24"/>
              </w:rPr>
            </w:pPr>
            <w:r>
              <w:rPr>
                <w:sz w:val="24"/>
              </w:rPr>
              <w:t>/</w:t>
            </w:r>
          </w:p>
        </w:tc>
        <w:tc>
          <w:tcPr>
            <w:tcW w:w="1809" w:type="dxa"/>
          </w:tcPr>
          <w:p>
            <w:pPr>
              <w:pStyle w:val="TableParagraph"/>
              <w:spacing w:before="156"/>
              <w:ind w:left="13"/>
              <w:rPr>
                <w:sz w:val="24"/>
              </w:rPr>
            </w:pPr>
            <w:r>
              <w:rPr>
                <w:sz w:val="24"/>
              </w:rPr>
              <w:t>/</w:t>
            </w:r>
          </w:p>
        </w:tc>
        <w:tc>
          <w:tcPr>
            <w:tcW w:w="1475" w:type="dxa"/>
          </w:tcPr>
          <w:p>
            <w:pPr>
              <w:pStyle w:val="TableParagraph"/>
              <w:ind w:left="61" w:right="44"/>
              <w:rPr>
                <w:sz w:val="24"/>
              </w:rPr>
            </w:pPr>
            <w:r>
              <w:rPr>
                <w:sz w:val="24"/>
              </w:rPr>
              <w:t>地下水环境</w:t>
            </w:r>
          </w:p>
          <w:p>
            <w:pPr>
              <w:pStyle w:val="TableParagraph"/>
              <w:spacing w:line="292" w:lineRule="exact" w:before="2"/>
              <w:ind w:left="61" w:right="44"/>
              <w:rPr>
                <w:sz w:val="24"/>
              </w:rPr>
            </w:pPr>
            <w:r>
              <w:rPr>
                <w:sz w:val="24"/>
              </w:rPr>
              <w:t>质量Ⅴ类</w:t>
            </w:r>
          </w:p>
        </w:tc>
      </w:tr>
      <w:tr>
        <w:trPr>
          <w:trHeight w:val="623" w:hRule="atLeast"/>
        </w:trPr>
        <w:tc>
          <w:tcPr>
            <w:tcW w:w="1080" w:type="dxa"/>
          </w:tcPr>
          <w:p>
            <w:pPr>
              <w:pStyle w:val="TableParagraph"/>
              <w:spacing w:before="156"/>
              <w:ind w:left="141" w:right="132"/>
              <w:rPr>
                <w:sz w:val="24"/>
              </w:rPr>
            </w:pPr>
            <w:r>
              <w:rPr>
                <w:sz w:val="24"/>
              </w:rPr>
              <w:t>声环境</w:t>
            </w:r>
          </w:p>
        </w:tc>
        <w:tc>
          <w:tcPr>
            <w:tcW w:w="1610" w:type="dxa"/>
          </w:tcPr>
          <w:p>
            <w:pPr>
              <w:pStyle w:val="TableParagraph"/>
              <w:spacing w:before="156"/>
              <w:ind w:left="63" w:right="56"/>
              <w:rPr>
                <w:sz w:val="24"/>
              </w:rPr>
            </w:pPr>
            <w:r>
              <w:rPr>
                <w:sz w:val="24"/>
              </w:rPr>
              <w:t>项目厂界</w:t>
            </w:r>
          </w:p>
        </w:tc>
        <w:tc>
          <w:tcPr>
            <w:tcW w:w="1538" w:type="dxa"/>
          </w:tcPr>
          <w:p>
            <w:pPr>
              <w:pStyle w:val="TableParagraph"/>
              <w:spacing w:before="156"/>
              <w:ind w:left="508" w:right="500"/>
              <w:rPr>
                <w:sz w:val="24"/>
              </w:rPr>
            </w:pPr>
            <w:r>
              <w:rPr>
                <w:sz w:val="24"/>
              </w:rPr>
              <w:t>周界</w:t>
            </w:r>
          </w:p>
        </w:tc>
        <w:tc>
          <w:tcPr>
            <w:tcW w:w="1046" w:type="dxa"/>
          </w:tcPr>
          <w:p>
            <w:pPr>
              <w:pStyle w:val="TableParagraph"/>
              <w:spacing w:before="156"/>
              <w:ind w:left="324" w:right="312"/>
              <w:rPr>
                <w:sz w:val="24"/>
              </w:rPr>
            </w:pPr>
            <w:r>
              <w:rPr>
                <w:sz w:val="24"/>
              </w:rPr>
              <w:t>200</w:t>
            </w:r>
          </w:p>
        </w:tc>
        <w:tc>
          <w:tcPr>
            <w:tcW w:w="1809" w:type="dxa"/>
          </w:tcPr>
          <w:p>
            <w:pPr>
              <w:pStyle w:val="TableParagraph"/>
              <w:spacing w:before="156"/>
              <w:ind w:left="13"/>
              <w:rPr>
                <w:sz w:val="24"/>
              </w:rPr>
            </w:pPr>
            <w:r>
              <w:rPr>
                <w:sz w:val="24"/>
              </w:rPr>
              <w:t>/</w:t>
            </w:r>
          </w:p>
        </w:tc>
        <w:tc>
          <w:tcPr>
            <w:tcW w:w="1475" w:type="dxa"/>
          </w:tcPr>
          <w:p>
            <w:pPr>
              <w:pStyle w:val="TableParagraph"/>
              <w:ind w:left="61" w:right="44"/>
              <w:rPr>
                <w:sz w:val="24"/>
              </w:rPr>
            </w:pPr>
            <w:r>
              <w:rPr>
                <w:sz w:val="24"/>
              </w:rPr>
              <w:t>GB3096-2008</w:t>
            </w:r>
          </w:p>
          <w:p>
            <w:pPr>
              <w:pStyle w:val="TableParagraph"/>
              <w:spacing w:line="292" w:lineRule="exact" w:before="4"/>
              <w:ind w:left="58" w:right="44"/>
              <w:rPr>
                <w:sz w:val="24"/>
              </w:rPr>
            </w:pPr>
            <w:r>
              <w:rPr>
                <w:sz w:val="24"/>
              </w:rPr>
              <w:t>2 类区</w:t>
            </w:r>
          </w:p>
        </w:tc>
      </w:tr>
    </w:tbl>
    <w:p>
      <w:pPr>
        <w:pStyle w:val="BodyText"/>
        <w:rPr>
          <w:b/>
          <w:sz w:val="20"/>
        </w:rPr>
      </w:pPr>
    </w:p>
    <w:p>
      <w:pPr>
        <w:pStyle w:val="BodyText"/>
        <w:spacing w:before="5"/>
        <w:rPr>
          <w:b/>
          <w:sz w:val="18"/>
        </w:rPr>
      </w:pPr>
    </w:p>
    <w:p>
      <w:pPr>
        <w:pStyle w:val="Heading1"/>
        <w:numPr>
          <w:ilvl w:val="0"/>
          <w:numId w:val="9"/>
        </w:numPr>
        <w:tabs>
          <w:tab w:pos="664" w:val="left" w:leader="none"/>
        </w:tabs>
        <w:spacing w:line="240" w:lineRule="auto" w:before="54" w:after="0"/>
        <w:ind w:left="663" w:right="0" w:hanging="243"/>
        <w:jc w:val="left"/>
      </w:pPr>
      <w:bookmarkStart w:name="_TOC_250052" w:id="16"/>
      <w:bookmarkEnd w:id="16"/>
      <w:r>
        <w:rPr/>
        <w:t>环境风险评价</w:t>
      </w:r>
    </w:p>
    <w:p>
      <w:pPr>
        <w:pStyle w:val="ListParagraph"/>
        <w:numPr>
          <w:ilvl w:val="1"/>
          <w:numId w:val="9"/>
        </w:numPr>
        <w:tabs>
          <w:tab w:pos="917" w:val="left" w:leader="none"/>
        </w:tabs>
        <w:spacing w:line="240" w:lineRule="auto" w:before="209" w:after="0"/>
        <w:ind w:left="916" w:right="0" w:hanging="496"/>
        <w:jc w:val="left"/>
        <w:rPr>
          <w:b/>
          <w:sz w:val="28"/>
        </w:rPr>
      </w:pPr>
      <w:bookmarkStart w:name="_TOC_250051" w:id="17"/>
      <w:bookmarkEnd w:id="17"/>
      <w:r>
        <w:rPr>
          <w:b/>
          <w:sz w:val="28"/>
        </w:rPr>
        <w:t>风险识别</w:t>
      </w:r>
    </w:p>
    <w:p>
      <w:pPr>
        <w:pStyle w:val="BodyText"/>
        <w:spacing w:before="186"/>
        <w:ind w:left="980"/>
      </w:pPr>
      <w:r>
        <w:rPr/>
        <w:t>主要风险物质及危险特性见表 3-1-1 至 3-1-12。</w:t>
      </w:r>
    </w:p>
    <w:p>
      <w:pPr>
        <w:spacing w:after="0"/>
        <w:sectPr>
          <w:pgSz w:w="11910" w:h="16840"/>
          <w:pgMar w:header="0" w:footer="984" w:top="1580" w:bottom="1180" w:left="1280" w:right="1280"/>
        </w:sectPr>
      </w:pPr>
    </w:p>
    <w:p>
      <w:pPr>
        <w:pStyle w:val="BodyText"/>
        <w:rPr>
          <w:sz w:val="20"/>
        </w:rPr>
      </w:pPr>
      <w:r>
        <w:rPr/>
        <w:pict>
          <v:line style="position:absolute;mso-position-horizontal-relative:page;mso-position-vertical-relative:page;z-index:251684864" from="55.200001pt,532.31958pt" to="758.280001pt,532.31958pt" stroked="true" strokeweight=".48pt" strokecolor="#000000">
            <v:stroke dashstyle="solid"/>
            <w10:wrap type="none"/>
          </v:line>
        </w:pict>
      </w:r>
    </w:p>
    <w:p>
      <w:pPr>
        <w:pStyle w:val="BodyText"/>
        <w:spacing w:before="7"/>
        <w:rPr>
          <w:sz w:val="21"/>
        </w:rPr>
      </w:pPr>
    </w:p>
    <w:p>
      <w:pPr>
        <w:spacing w:before="62"/>
        <w:ind w:left="5014" w:right="4145" w:firstLine="0"/>
        <w:jc w:val="center"/>
        <w:rPr>
          <w:b/>
          <w:sz w:val="28"/>
        </w:rPr>
      </w:pPr>
      <w:r>
        <w:rPr>
          <w:b/>
          <w:sz w:val="28"/>
        </w:rPr>
        <w:t>表 3-1-1 主要原辅材料分析一览表</w:t>
      </w:r>
    </w:p>
    <w:p>
      <w:pPr>
        <w:pStyle w:val="BodyText"/>
        <w:spacing w:before="8"/>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3943"/>
        <w:gridCol w:w="1457"/>
        <w:gridCol w:w="1572"/>
        <w:gridCol w:w="1562"/>
        <w:gridCol w:w="1440"/>
        <w:gridCol w:w="2714"/>
      </w:tblGrid>
      <w:tr>
        <w:trPr>
          <w:trHeight w:val="489" w:hRule="atLeast"/>
        </w:trPr>
        <w:tc>
          <w:tcPr>
            <w:tcW w:w="648" w:type="dxa"/>
          </w:tcPr>
          <w:p>
            <w:pPr>
              <w:pStyle w:val="TableParagraph"/>
              <w:spacing w:before="109"/>
              <w:ind w:left="93" w:right="84"/>
              <w:rPr>
                <w:sz w:val="21"/>
              </w:rPr>
            </w:pPr>
            <w:r>
              <w:rPr>
                <w:sz w:val="21"/>
              </w:rPr>
              <w:t>序号</w:t>
            </w:r>
          </w:p>
        </w:tc>
        <w:tc>
          <w:tcPr>
            <w:tcW w:w="3943" w:type="dxa"/>
          </w:tcPr>
          <w:p>
            <w:pPr>
              <w:pStyle w:val="TableParagraph"/>
              <w:spacing w:before="109"/>
              <w:ind w:left="1081" w:right="1072"/>
              <w:rPr>
                <w:sz w:val="21"/>
              </w:rPr>
            </w:pPr>
            <w:r>
              <w:rPr>
                <w:sz w:val="21"/>
              </w:rPr>
              <w:t>风险物质</w:t>
            </w:r>
            <w:r>
              <w:rPr>
                <w:rFonts w:ascii="Times New Roman" w:eastAsia="Times New Roman"/>
                <w:sz w:val="21"/>
              </w:rPr>
              <w:t>/</w:t>
            </w:r>
            <w:r>
              <w:rPr>
                <w:sz w:val="21"/>
              </w:rPr>
              <w:t>设施名称</w:t>
            </w:r>
          </w:p>
        </w:tc>
        <w:tc>
          <w:tcPr>
            <w:tcW w:w="1457" w:type="dxa"/>
          </w:tcPr>
          <w:p>
            <w:pPr>
              <w:pStyle w:val="TableParagraph"/>
              <w:spacing w:before="109"/>
              <w:ind w:left="288" w:right="279"/>
              <w:rPr>
                <w:sz w:val="21"/>
              </w:rPr>
            </w:pPr>
            <w:r>
              <w:rPr>
                <w:sz w:val="21"/>
              </w:rPr>
              <w:t>储存方式</w:t>
            </w:r>
          </w:p>
        </w:tc>
        <w:tc>
          <w:tcPr>
            <w:tcW w:w="1572" w:type="dxa"/>
          </w:tcPr>
          <w:p>
            <w:pPr>
              <w:pStyle w:val="TableParagraph"/>
              <w:spacing w:before="109"/>
              <w:ind w:left="345" w:right="336"/>
              <w:rPr>
                <w:sz w:val="21"/>
              </w:rPr>
            </w:pPr>
            <w:r>
              <w:rPr>
                <w:sz w:val="21"/>
              </w:rPr>
              <w:t>规格型号</w:t>
            </w:r>
          </w:p>
        </w:tc>
        <w:tc>
          <w:tcPr>
            <w:tcW w:w="1562" w:type="dxa"/>
          </w:tcPr>
          <w:p>
            <w:pPr>
              <w:pStyle w:val="TableParagraph"/>
              <w:spacing w:before="109"/>
              <w:ind w:left="364" w:right="356"/>
              <w:rPr>
                <w:rFonts w:ascii="Times New Roman" w:eastAsia="Times New Roman"/>
                <w:sz w:val="21"/>
              </w:rPr>
            </w:pPr>
            <w:r>
              <w:rPr>
                <w:sz w:val="21"/>
              </w:rPr>
              <w:t>数量 </w:t>
            </w:r>
            <w:r>
              <w:rPr>
                <w:rFonts w:ascii="Times New Roman" w:eastAsia="Times New Roman"/>
                <w:sz w:val="21"/>
              </w:rPr>
              <w:t>t</w:t>
            </w:r>
          </w:p>
        </w:tc>
        <w:tc>
          <w:tcPr>
            <w:tcW w:w="1440" w:type="dxa"/>
          </w:tcPr>
          <w:p>
            <w:pPr>
              <w:pStyle w:val="TableParagraph"/>
              <w:spacing w:before="109"/>
              <w:ind w:left="69" w:right="54"/>
              <w:rPr>
                <w:rFonts w:ascii="Times New Roman" w:eastAsia="Times New Roman"/>
                <w:sz w:val="21"/>
              </w:rPr>
            </w:pPr>
            <w:r>
              <w:rPr>
                <w:sz w:val="21"/>
              </w:rPr>
              <w:t>最大存储量 </w:t>
            </w:r>
            <w:r>
              <w:rPr>
                <w:rFonts w:ascii="Times New Roman" w:eastAsia="Times New Roman"/>
                <w:sz w:val="21"/>
              </w:rPr>
              <w:t>t</w:t>
            </w:r>
          </w:p>
        </w:tc>
        <w:tc>
          <w:tcPr>
            <w:tcW w:w="2714" w:type="dxa"/>
          </w:tcPr>
          <w:p>
            <w:pPr>
              <w:pStyle w:val="TableParagraph"/>
              <w:spacing w:before="109"/>
              <w:ind w:left="1147"/>
              <w:jc w:val="left"/>
              <w:rPr>
                <w:sz w:val="21"/>
              </w:rPr>
            </w:pPr>
            <w:r>
              <w:rPr>
                <w:sz w:val="21"/>
              </w:rPr>
              <w:t>备注</w:t>
            </w:r>
          </w:p>
        </w:tc>
      </w:tr>
      <w:tr>
        <w:trPr>
          <w:trHeight w:val="337" w:hRule="atLeast"/>
        </w:trPr>
        <w:tc>
          <w:tcPr>
            <w:tcW w:w="648" w:type="dxa"/>
          </w:tcPr>
          <w:p>
            <w:pPr>
              <w:pStyle w:val="TableParagraph"/>
              <w:spacing w:before="41"/>
              <w:ind w:left="9"/>
              <w:rPr>
                <w:rFonts w:ascii="Times New Roman"/>
                <w:sz w:val="21"/>
              </w:rPr>
            </w:pPr>
            <w:r>
              <w:rPr>
                <w:rFonts w:ascii="Times New Roman"/>
                <w:w w:val="100"/>
                <w:sz w:val="21"/>
              </w:rPr>
              <w:t>1</w:t>
            </w:r>
          </w:p>
        </w:tc>
        <w:tc>
          <w:tcPr>
            <w:tcW w:w="3943" w:type="dxa"/>
          </w:tcPr>
          <w:p>
            <w:pPr>
              <w:pStyle w:val="TableParagraph"/>
              <w:spacing w:before="34"/>
              <w:ind w:left="1081" w:right="1069"/>
              <w:rPr>
                <w:sz w:val="21"/>
              </w:rPr>
            </w:pPr>
            <w:r>
              <w:rPr>
                <w:sz w:val="21"/>
              </w:rPr>
              <w:t>醋酸</w:t>
            </w:r>
          </w:p>
        </w:tc>
        <w:tc>
          <w:tcPr>
            <w:tcW w:w="1457" w:type="dxa"/>
          </w:tcPr>
          <w:p>
            <w:pPr>
              <w:pStyle w:val="TableParagraph"/>
              <w:spacing w:before="34"/>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41"/>
              <w:ind w:left="364" w:right="360"/>
              <w:rPr>
                <w:rFonts w:ascii="Times New Roman"/>
                <w:sz w:val="21"/>
              </w:rPr>
            </w:pPr>
            <w:r>
              <w:rPr>
                <w:rFonts w:ascii="Times New Roman"/>
                <w:sz w:val="21"/>
              </w:rPr>
              <w:t>18991.55</w:t>
            </w:r>
          </w:p>
        </w:tc>
        <w:tc>
          <w:tcPr>
            <w:tcW w:w="1440" w:type="dxa"/>
          </w:tcPr>
          <w:p>
            <w:pPr>
              <w:pStyle w:val="TableParagraph"/>
              <w:spacing w:before="41"/>
              <w:ind w:left="69" w:right="55"/>
              <w:rPr>
                <w:rFonts w:ascii="Times New Roman"/>
                <w:sz w:val="21"/>
              </w:rPr>
            </w:pPr>
            <w:r>
              <w:rPr>
                <w:rFonts w:ascii="Times New Roman"/>
                <w:sz w:val="21"/>
              </w:rPr>
              <w:t>700</w:t>
            </w:r>
          </w:p>
        </w:tc>
        <w:tc>
          <w:tcPr>
            <w:tcW w:w="2714" w:type="dxa"/>
          </w:tcPr>
          <w:p>
            <w:pPr>
              <w:pStyle w:val="TableParagraph"/>
              <w:spacing w:before="34"/>
              <w:ind w:left="1147"/>
              <w:jc w:val="left"/>
              <w:rPr>
                <w:sz w:val="21"/>
              </w:rPr>
            </w:pPr>
            <w:r>
              <w:rPr>
                <w:sz w:val="21"/>
              </w:rPr>
              <w:t>液态</w:t>
            </w:r>
          </w:p>
        </w:tc>
      </w:tr>
      <w:tr>
        <w:trPr>
          <w:trHeight w:val="277" w:hRule="atLeast"/>
        </w:trPr>
        <w:tc>
          <w:tcPr>
            <w:tcW w:w="648" w:type="dxa"/>
          </w:tcPr>
          <w:p>
            <w:pPr>
              <w:pStyle w:val="TableParagraph"/>
              <w:spacing w:before="12"/>
              <w:ind w:left="9"/>
              <w:rPr>
                <w:rFonts w:ascii="Times New Roman"/>
                <w:sz w:val="21"/>
              </w:rPr>
            </w:pPr>
            <w:r>
              <w:rPr>
                <w:rFonts w:ascii="Times New Roman"/>
                <w:w w:val="100"/>
                <w:sz w:val="21"/>
              </w:rPr>
              <w:t>2</w:t>
            </w:r>
          </w:p>
        </w:tc>
        <w:tc>
          <w:tcPr>
            <w:tcW w:w="3943" w:type="dxa"/>
          </w:tcPr>
          <w:p>
            <w:pPr>
              <w:pStyle w:val="TableParagraph"/>
              <w:spacing w:line="252" w:lineRule="exact" w:before="5"/>
              <w:ind w:left="12"/>
              <w:rPr>
                <w:sz w:val="21"/>
              </w:rPr>
            </w:pPr>
            <w:r>
              <w:rPr>
                <w:w w:val="100"/>
                <w:sz w:val="21"/>
              </w:rPr>
              <w:t>氨</w:t>
            </w:r>
          </w:p>
        </w:tc>
        <w:tc>
          <w:tcPr>
            <w:tcW w:w="1457" w:type="dxa"/>
          </w:tcPr>
          <w:p>
            <w:pPr>
              <w:pStyle w:val="TableParagraph"/>
              <w:spacing w:line="252" w:lineRule="exact" w:before="5"/>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1051.2</w:t>
            </w:r>
          </w:p>
        </w:tc>
        <w:tc>
          <w:tcPr>
            <w:tcW w:w="1440" w:type="dxa"/>
          </w:tcPr>
          <w:p>
            <w:pPr>
              <w:pStyle w:val="TableParagraph"/>
              <w:spacing w:before="12"/>
              <w:ind w:left="69" w:right="55"/>
              <w:rPr>
                <w:rFonts w:ascii="Times New Roman"/>
                <w:sz w:val="21"/>
              </w:rPr>
            </w:pPr>
            <w:r>
              <w:rPr>
                <w:rFonts w:ascii="Times New Roman"/>
                <w:sz w:val="21"/>
              </w:rPr>
              <w:t>19.7</w:t>
            </w:r>
          </w:p>
        </w:tc>
        <w:tc>
          <w:tcPr>
            <w:tcW w:w="2714" w:type="dxa"/>
          </w:tcPr>
          <w:p>
            <w:pPr>
              <w:pStyle w:val="TableParagraph"/>
              <w:spacing w:line="252" w:lineRule="exact" w:before="5"/>
              <w:ind w:left="1147"/>
              <w:jc w:val="left"/>
              <w:rPr>
                <w:sz w:val="21"/>
              </w:rPr>
            </w:pPr>
            <w:r>
              <w:rPr>
                <w:sz w:val="21"/>
              </w:rPr>
              <w:t>液态</w:t>
            </w:r>
          </w:p>
        </w:tc>
      </w:tr>
      <w:tr>
        <w:trPr>
          <w:trHeight w:val="280" w:hRule="atLeast"/>
        </w:trPr>
        <w:tc>
          <w:tcPr>
            <w:tcW w:w="648" w:type="dxa"/>
          </w:tcPr>
          <w:p>
            <w:pPr>
              <w:pStyle w:val="TableParagraph"/>
              <w:spacing w:before="12"/>
              <w:ind w:left="9"/>
              <w:rPr>
                <w:rFonts w:ascii="Times New Roman"/>
                <w:sz w:val="21"/>
              </w:rPr>
            </w:pPr>
            <w:r>
              <w:rPr>
                <w:rFonts w:ascii="Times New Roman"/>
                <w:w w:val="100"/>
                <w:sz w:val="21"/>
              </w:rPr>
              <w:t>3</w:t>
            </w:r>
          </w:p>
        </w:tc>
        <w:tc>
          <w:tcPr>
            <w:tcW w:w="3943" w:type="dxa"/>
          </w:tcPr>
          <w:p>
            <w:pPr>
              <w:pStyle w:val="TableParagraph"/>
              <w:spacing w:line="255" w:lineRule="exact" w:before="6"/>
              <w:ind w:left="1081" w:right="1072"/>
              <w:rPr>
                <w:sz w:val="21"/>
              </w:rPr>
            </w:pPr>
            <w:r>
              <w:rPr>
                <w:sz w:val="21"/>
              </w:rPr>
              <w:t>氢氧化钠</w:t>
            </w:r>
          </w:p>
        </w:tc>
        <w:tc>
          <w:tcPr>
            <w:tcW w:w="1457" w:type="dxa"/>
          </w:tcPr>
          <w:p>
            <w:pPr>
              <w:pStyle w:val="TableParagraph"/>
              <w:spacing w:line="255" w:lineRule="exact" w:before="6"/>
              <w:ind w:left="288" w:right="276"/>
              <w:rPr>
                <w:sz w:val="21"/>
              </w:rPr>
            </w:pPr>
            <w:r>
              <w:rPr>
                <w:sz w:val="21"/>
              </w:rPr>
              <w:t>袋装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4290.1</w:t>
            </w:r>
          </w:p>
        </w:tc>
        <w:tc>
          <w:tcPr>
            <w:tcW w:w="1440" w:type="dxa"/>
          </w:tcPr>
          <w:p>
            <w:pPr>
              <w:pStyle w:val="TableParagraph"/>
              <w:spacing w:before="12"/>
              <w:ind w:left="14"/>
              <w:rPr>
                <w:rFonts w:ascii="Times New Roman"/>
                <w:sz w:val="21"/>
              </w:rPr>
            </w:pPr>
            <w:r>
              <w:rPr>
                <w:rFonts w:ascii="Times New Roman"/>
                <w:w w:val="100"/>
                <w:sz w:val="21"/>
              </w:rPr>
              <w:t>3</w:t>
            </w:r>
          </w:p>
        </w:tc>
        <w:tc>
          <w:tcPr>
            <w:tcW w:w="2714" w:type="dxa"/>
          </w:tcPr>
          <w:p>
            <w:pPr>
              <w:pStyle w:val="TableParagraph"/>
              <w:spacing w:line="255" w:lineRule="exact" w:before="6"/>
              <w:ind w:left="1147"/>
              <w:jc w:val="left"/>
              <w:rPr>
                <w:sz w:val="21"/>
              </w:rPr>
            </w:pPr>
            <w:r>
              <w:rPr>
                <w:sz w:val="21"/>
              </w:rPr>
              <w:t>固态</w:t>
            </w:r>
          </w:p>
        </w:tc>
      </w:tr>
      <w:tr>
        <w:trPr>
          <w:trHeight w:val="280" w:hRule="atLeast"/>
        </w:trPr>
        <w:tc>
          <w:tcPr>
            <w:tcW w:w="648" w:type="dxa"/>
          </w:tcPr>
          <w:p>
            <w:pPr>
              <w:pStyle w:val="TableParagraph"/>
              <w:spacing w:before="12"/>
              <w:ind w:left="9"/>
              <w:rPr>
                <w:rFonts w:ascii="Times New Roman"/>
                <w:sz w:val="21"/>
              </w:rPr>
            </w:pPr>
            <w:r>
              <w:rPr>
                <w:rFonts w:ascii="Times New Roman"/>
                <w:w w:val="100"/>
                <w:sz w:val="21"/>
              </w:rPr>
              <w:t>4</w:t>
            </w:r>
          </w:p>
        </w:tc>
        <w:tc>
          <w:tcPr>
            <w:tcW w:w="3943" w:type="dxa"/>
          </w:tcPr>
          <w:p>
            <w:pPr>
              <w:pStyle w:val="TableParagraph"/>
              <w:spacing w:line="255" w:lineRule="exact" w:before="6"/>
              <w:ind w:left="1081" w:right="1069"/>
              <w:rPr>
                <w:sz w:val="21"/>
              </w:rPr>
            </w:pPr>
            <w:r>
              <w:rPr>
                <w:sz w:val="21"/>
              </w:rPr>
              <w:t>乙二醇</w:t>
            </w:r>
          </w:p>
        </w:tc>
        <w:tc>
          <w:tcPr>
            <w:tcW w:w="1457" w:type="dxa"/>
          </w:tcPr>
          <w:p>
            <w:pPr>
              <w:pStyle w:val="TableParagraph"/>
              <w:spacing w:line="255" w:lineRule="exact" w:before="6"/>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2"/>
              <w:ind w:left="364" w:right="360"/>
              <w:rPr>
                <w:rFonts w:ascii="Times New Roman"/>
                <w:sz w:val="21"/>
              </w:rPr>
            </w:pPr>
            <w:r>
              <w:rPr>
                <w:rFonts w:ascii="Times New Roman"/>
                <w:sz w:val="21"/>
              </w:rPr>
              <w:t>4798.98</w:t>
            </w:r>
          </w:p>
        </w:tc>
        <w:tc>
          <w:tcPr>
            <w:tcW w:w="1440" w:type="dxa"/>
          </w:tcPr>
          <w:p>
            <w:pPr>
              <w:pStyle w:val="TableParagraph"/>
              <w:spacing w:before="12"/>
              <w:ind w:left="69" w:right="55"/>
              <w:rPr>
                <w:rFonts w:ascii="Times New Roman"/>
                <w:sz w:val="21"/>
              </w:rPr>
            </w:pPr>
            <w:r>
              <w:rPr>
                <w:rFonts w:ascii="Times New Roman"/>
                <w:sz w:val="21"/>
              </w:rPr>
              <w:t>252</w:t>
            </w:r>
          </w:p>
        </w:tc>
        <w:tc>
          <w:tcPr>
            <w:tcW w:w="2714" w:type="dxa"/>
          </w:tcPr>
          <w:p>
            <w:pPr>
              <w:pStyle w:val="TableParagraph"/>
              <w:spacing w:line="255" w:lineRule="exact" w:before="6"/>
              <w:ind w:left="1147"/>
              <w:jc w:val="left"/>
              <w:rPr>
                <w:sz w:val="21"/>
              </w:rPr>
            </w:pPr>
            <w:r>
              <w:rPr>
                <w:sz w:val="21"/>
              </w:rPr>
              <w:t>液态</w:t>
            </w:r>
          </w:p>
        </w:tc>
      </w:tr>
      <w:tr>
        <w:trPr>
          <w:trHeight w:val="280" w:hRule="atLeast"/>
        </w:trPr>
        <w:tc>
          <w:tcPr>
            <w:tcW w:w="648" w:type="dxa"/>
          </w:tcPr>
          <w:p>
            <w:pPr>
              <w:pStyle w:val="TableParagraph"/>
              <w:spacing w:before="12"/>
              <w:ind w:left="9"/>
              <w:rPr>
                <w:rFonts w:ascii="Times New Roman"/>
                <w:sz w:val="21"/>
              </w:rPr>
            </w:pPr>
            <w:r>
              <w:rPr>
                <w:rFonts w:ascii="Times New Roman"/>
                <w:w w:val="100"/>
                <w:sz w:val="21"/>
              </w:rPr>
              <w:t>5</w:t>
            </w:r>
          </w:p>
        </w:tc>
        <w:tc>
          <w:tcPr>
            <w:tcW w:w="3943" w:type="dxa"/>
          </w:tcPr>
          <w:p>
            <w:pPr>
              <w:pStyle w:val="TableParagraph"/>
              <w:spacing w:line="255" w:lineRule="exact" w:before="6"/>
              <w:ind w:left="1081" w:right="1069"/>
              <w:rPr>
                <w:sz w:val="21"/>
              </w:rPr>
            </w:pPr>
            <w:r>
              <w:rPr>
                <w:sz w:val="21"/>
              </w:rPr>
              <w:t>丙二醇</w:t>
            </w:r>
          </w:p>
        </w:tc>
        <w:tc>
          <w:tcPr>
            <w:tcW w:w="1457" w:type="dxa"/>
          </w:tcPr>
          <w:p>
            <w:pPr>
              <w:pStyle w:val="TableParagraph"/>
              <w:spacing w:line="255" w:lineRule="exact" w:before="6"/>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200</w:t>
            </w:r>
          </w:p>
        </w:tc>
        <w:tc>
          <w:tcPr>
            <w:tcW w:w="1440" w:type="dxa"/>
          </w:tcPr>
          <w:p>
            <w:pPr>
              <w:pStyle w:val="TableParagraph"/>
              <w:spacing w:before="12"/>
              <w:ind w:left="69" w:right="55"/>
              <w:rPr>
                <w:rFonts w:ascii="Times New Roman"/>
                <w:sz w:val="21"/>
              </w:rPr>
            </w:pPr>
            <w:r>
              <w:rPr>
                <w:rFonts w:ascii="Times New Roman"/>
                <w:sz w:val="21"/>
              </w:rPr>
              <w:t>252</w:t>
            </w:r>
          </w:p>
        </w:tc>
        <w:tc>
          <w:tcPr>
            <w:tcW w:w="2714" w:type="dxa"/>
          </w:tcPr>
          <w:p>
            <w:pPr>
              <w:pStyle w:val="TableParagraph"/>
              <w:spacing w:line="255" w:lineRule="exact" w:before="6"/>
              <w:ind w:left="1147"/>
              <w:jc w:val="left"/>
              <w:rPr>
                <w:sz w:val="21"/>
              </w:rPr>
            </w:pPr>
            <w:r>
              <w:rPr>
                <w:sz w:val="21"/>
              </w:rPr>
              <w:t>液态</w:t>
            </w:r>
          </w:p>
        </w:tc>
      </w:tr>
      <w:tr>
        <w:trPr>
          <w:trHeight w:val="280" w:hRule="atLeast"/>
        </w:trPr>
        <w:tc>
          <w:tcPr>
            <w:tcW w:w="648" w:type="dxa"/>
          </w:tcPr>
          <w:p>
            <w:pPr>
              <w:pStyle w:val="TableParagraph"/>
              <w:spacing w:before="12"/>
              <w:ind w:left="9"/>
              <w:rPr>
                <w:rFonts w:ascii="Times New Roman"/>
                <w:sz w:val="21"/>
              </w:rPr>
            </w:pPr>
            <w:r>
              <w:rPr>
                <w:rFonts w:ascii="Times New Roman"/>
                <w:w w:val="100"/>
                <w:sz w:val="21"/>
              </w:rPr>
              <w:t>6</w:t>
            </w:r>
          </w:p>
        </w:tc>
        <w:tc>
          <w:tcPr>
            <w:tcW w:w="3943" w:type="dxa"/>
          </w:tcPr>
          <w:p>
            <w:pPr>
              <w:pStyle w:val="TableParagraph"/>
              <w:spacing w:line="255" w:lineRule="exact" w:before="6"/>
              <w:ind w:left="1081" w:right="1069"/>
              <w:rPr>
                <w:sz w:val="21"/>
              </w:rPr>
            </w:pPr>
            <w:r>
              <w:rPr>
                <w:sz w:val="21"/>
              </w:rPr>
              <w:t>催化剂</w:t>
            </w:r>
          </w:p>
        </w:tc>
        <w:tc>
          <w:tcPr>
            <w:tcW w:w="1457" w:type="dxa"/>
          </w:tcPr>
          <w:p>
            <w:pPr>
              <w:pStyle w:val="TableParagraph"/>
              <w:spacing w:line="255" w:lineRule="exact" w:before="6"/>
              <w:ind w:left="288" w:right="276"/>
              <w:rPr>
                <w:sz w:val="21"/>
              </w:rPr>
            </w:pPr>
            <w:r>
              <w:rPr>
                <w:sz w:val="21"/>
              </w:rPr>
              <w:t>袋装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44.24</w:t>
            </w:r>
          </w:p>
        </w:tc>
        <w:tc>
          <w:tcPr>
            <w:tcW w:w="1440" w:type="dxa"/>
          </w:tcPr>
          <w:p>
            <w:pPr>
              <w:pStyle w:val="TableParagraph"/>
              <w:spacing w:before="12"/>
              <w:ind w:left="14"/>
              <w:rPr>
                <w:rFonts w:ascii="Times New Roman"/>
                <w:sz w:val="21"/>
              </w:rPr>
            </w:pPr>
            <w:r>
              <w:rPr>
                <w:rFonts w:ascii="Times New Roman"/>
                <w:w w:val="100"/>
                <w:sz w:val="21"/>
              </w:rPr>
              <w:t>2</w:t>
            </w:r>
          </w:p>
        </w:tc>
        <w:tc>
          <w:tcPr>
            <w:tcW w:w="2714" w:type="dxa"/>
          </w:tcPr>
          <w:p>
            <w:pPr>
              <w:pStyle w:val="TableParagraph"/>
              <w:spacing w:line="255" w:lineRule="exact" w:before="6"/>
              <w:ind w:left="1147"/>
              <w:jc w:val="left"/>
              <w:rPr>
                <w:sz w:val="21"/>
              </w:rPr>
            </w:pPr>
            <w:r>
              <w:rPr>
                <w:sz w:val="21"/>
              </w:rPr>
              <w:t>固态</w:t>
            </w:r>
          </w:p>
        </w:tc>
      </w:tr>
      <w:tr>
        <w:trPr>
          <w:trHeight w:val="544" w:hRule="atLeast"/>
        </w:trPr>
        <w:tc>
          <w:tcPr>
            <w:tcW w:w="648" w:type="dxa"/>
          </w:tcPr>
          <w:p>
            <w:pPr>
              <w:pStyle w:val="TableParagraph"/>
              <w:spacing w:before="144"/>
              <w:ind w:left="9"/>
              <w:rPr>
                <w:rFonts w:ascii="Times New Roman"/>
                <w:sz w:val="21"/>
              </w:rPr>
            </w:pPr>
            <w:r>
              <w:rPr>
                <w:rFonts w:ascii="Times New Roman"/>
                <w:w w:val="100"/>
                <w:sz w:val="21"/>
              </w:rPr>
              <w:t>7</w:t>
            </w:r>
          </w:p>
        </w:tc>
        <w:tc>
          <w:tcPr>
            <w:tcW w:w="3943" w:type="dxa"/>
          </w:tcPr>
          <w:p>
            <w:pPr>
              <w:pStyle w:val="TableParagraph"/>
              <w:spacing w:before="138"/>
              <w:ind w:left="1081" w:right="1069"/>
              <w:rPr>
                <w:sz w:val="21"/>
              </w:rPr>
            </w:pPr>
            <w:r>
              <w:rPr>
                <w:sz w:val="21"/>
              </w:rPr>
              <w:t>废乙腈</w:t>
            </w:r>
          </w:p>
        </w:tc>
        <w:tc>
          <w:tcPr>
            <w:tcW w:w="1457" w:type="dxa"/>
          </w:tcPr>
          <w:p>
            <w:pPr>
              <w:pStyle w:val="TableParagraph"/>
              <w:spacing w:before="138"/>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44"/>
              <w:ind w:left="364" w:right="357"/>
              <w:rPr>
                <w:rFonts w:ascii="Times New Roman"/>
                <w:sz w:val="21"/>
              </w:rPr>
            </w:pPr>
            <w:r>
              <w:rPr>
                <w:rFonts w:ascii="Times New Roman"/>
                <w:sz w:val="21"/>
              </w:rPr>
              <w:t>6000</w:t>
            </w:r>
          </w:p>
        </w:tc>
        <w:tc>
          <w:tcPr>
            <w:tcW w:w="1440" w:type="dxa"/>
          </w:tcPr>
          <w:p>
            <w:pPr>
              <w:pStyle w:val="TableParagraph"/>
              <w:spacing w:before="1"/>
              <w:ind w:left="69" w:right="54"/>
              <w:rPr>
                <w:rFonts w:ascii="Times New Roman" w:eastAsia="Times New Roman"/>
                <w:sz w:val="21"/>
              </w:rPr>
            </w:pPr>
            <w:r>
              <w:rPr>
                <w:rFonts w:ascii="Times New Roman" w:eastAsia="Times New Roman"/>
                <w:sz w:val="21"/>
              </w:rPr>
              <w:t>300</w:t>
            </w:r>
            <w:r>
              <w:rPr>
                <w:sz w:val="21"/>
              </w:rPr>
              <w:t>（含 </w:t>
            </w:r>
            <w:r>
              <w:rPr>
                <w:rFonts w:ascii="Times New Roman" w:eastAsia="Times New Roman"/>
                <w:sz w:val="21"/>
              </w:rPr>
              <w:t>50%</w:t>
            </w:r>
          </w:p>
          <w:p>
            <w:pPr>
              <w:pStyle w:val="TableParagraph"/>
              <w:spacing w:line="252" w:lineRule="exact" w:before="2"/>
              <w:ind w:left="69" w:right="55"/>
              <w:rPr>
                <w:sz w:val="21"/>
              </w:rPr>
            </w:pPr>
            <w:r>
              <w:rPr>
                <w:sz w:val="21"/>
              </w:rPr>
              <w:t>乙腈）</w:t>
            </w:r>
          </w:p>
        </w:tc>
        <w:tc>
          <w:tcPr>
            <w:tcW w:w="2714" w:type="dxa"/>
          </w:tcPr>
          <w:p>
            <w:pPr>
              <w:pStyle w:val="TableParagraph"/>
              <w:spacing w:before="138"/>
              <w:ind w:left="1147"/>
              <w:jc w:val="left"/>
              <w:rPr>
                <w:sz w:val="21"/>
              </w:rPr>
            </w:pPr>
            <w:r>
              <w:rPr>
                <w:sz w:val="21"/>
              </w:rPr>
              <w:t>液态</w:t>
            </w:r>
          </w:p>
        </w:tc>
      </w:tr>
      <w:tr>
        <w:trPr>
          <w:trHeight w:val="280" w:hRule="atLeast"/>
        </w:trPr>
        <w:tc>
          <w:tcPr>
            <w:tcW w:w="648" w:type="dxa"/>
          </w:tcPr>
          <w:p>
            <w:pPr>
              <w:pStyle w:val="TableParagraph"/>
              <w:spacing w:before="12"/>
              <w:ind w:left="9"/>
              <w:rPr>
                <w:rFonts w:ascii="Times New Roman"/>
                <w:sz w:val="21"/>
              </w:rPr>
            </w:pPr>
            <w:r>
              <w:rPr>
                <w:rFonts w:ascii="Times New Roman"/>
                <w:w w:val="100"/>
                <w:sz w:val="21"/>
              </w:rPr>
              <w:t>8</w:t>
            </w:r>
          </w:p>
        </w:tc>
        <w:tc>
          <w:tcPr>
            <w:tcW w:w="3943" w:type="dxa"/>
          </w:tcPr>
          <w:p>
            <w:pPr>
              <w:pStyle w:val="TableParagraph"/>
              <w:spacing w:line="255" w:lineRule="exact" w:before="6"/>
              <w:ind w:left="1081" w:right="1069"/>
              <w:rPr>
                <w:sz w:val="21"/>
              </w:rPr>
            </w:pPr>
            <w:r>
              <w:rPr>
                <w:sz w:val="21"/>
              </w:rPr>
              <w:t>乙腈</w:t>
            </w:r>
          </w:p>
        </w:tc>
        <w:tc>
          <w:tcPr>
            <w:tcW w:w="1457" w:type="dxa"/>
          </w:tcPr>
          <w:p>
            <w:pPr>
              <w:pStyle w:val="TableParagraph"/>
              <w:spacing w:line="255" w:lineRule="exact" w:before="6"/>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5000</w:t>
            </w:r>
          </w:p>
        </w:tc>
        <w:tc>
          <w:tcPr>
            <w:tcW w:w="1440" w:type="dxa"/>
          </w:tcPr>
          <w:p>
            <w:pPr>
              <w:pStyle w:val="TableParagraph"/>
              <w:spacing w:before="12"/>
              <w:ind w:left="69" w:right="55"/>
              <w:rPr>
                <w:rFonts w:ascii="Times New Roman"/>
                <w:sz w:val="21"/>
              </w:rPr>
            </w:pPr>
            <w:r>
              <w:rPr>
                <w:rFonts w:ascii="Times New Roman"/>
                <w:sz w:val="21"/>
              </w:rPr>
              <w:t>89</w:t>
            </w:r>
          </w:p>
        </w:tc>
        <w:tc>
          <w:tcPr>
            <w:tcW w:w="2714" w:type="dxa"/>
          </w:tcPr>
          <w:p>
            <w:pPr>
              <w:pStyle w:val="TableParagraph"/>
              <w:spacing w:line="255" w:lineRule="exact" w:before="6"/>
              <w:ind w:left="1147"/>
              <w:jc w:val="left"/>
              <w:rPr>
                <w:sz w:val="21"/>
              </w:rPr>
            </w:pPr>
            <w:r>
              <w:rPr>
                <w:sz w:val="21"/>
              </w:rPr>
              <w:t>液态</w:t>
            </w:r>
          </w:p>
        </w:tc>
      </w:tr>
      <w:tr>
        <w:trPr>
          <w:trHeight w:val="280" w:hRule="atLeast"/>
        </w:trPr>
        <w:tc>
          <w:tcPr>
            <w:tcW w:w="648" w:type="dxa"/>
          </w:tcPr>
          <w:p>
            <w:pPr>
              <w:pStyle w:val="TableParagraph"/>
              <w:spacing w:before="12"/>
              <w:ind w:left="9"/>
              <w:rPr>
                <w:rFonts w:ascii="Times New Roman"/>
                <w:sz w:val="21"/>
              </w:rPr>
            </w:pPr>
            <w:r>
              <w:rPr>
                <w:rFonts w:ascii="Times New Roman"/>
                <w:w w:val="100"/>
                <w:sz w:val="21"/>
              </w:rPr>
              <w:t>9</w:t>
            </w:r>
          </w:p>
        </w:tc>
        <w:tc>
          <w:tcPr>
            <w:tcW w:w="3943" w:type="dxa"/>
          </w:tcPr>
          <w:p>
            <w:pPr>
              <w:pStyle w:val="TableParagraph"/>
              <w:spacing w:line="255" w:lineRule="exact" w:before="6"/>
              <w:ind w:left="1081" w:right="1069"/>
              <w:rPr>
                <w:sz w:val="21"/>
              </w:rPr>
            </w:pPr>
            <w:r>
              <w:rPr>
                <w:sz w:val="21"/>
              </w:rPr>
              <w:t>乙酰胺</w:t>
            </w:r>
          </w:p>
        </w:tc>
        <w:tc>
          <w:tcPr>
            <w:tcW w:w="1457" w:type="dxa"/>
          </w:tcPr>
          <w:p>
            <w:pPr>
              <w:pStyle w:val="TableParagraph"/>
              <w:spacing w:line="255" w:lineRule="exact" w:before="6"/>
              <w:ind w:left="288" w:right="279"/>
              <w:rPr>
                <w:sz w:val="21"/>
              </w:rPr>
            </w:pPr>
            <w:r>
              <w:rPr>
                <w:sz w:val="21"/>
              </w:rPr>
              <w:t>中间产品</w:t>
            </w:r>
          </w:p>
        </w:tc>
        <w:tc>
          <w:tcPr>
            <w:tcW w:w="1572" w:type="dxa"/>
          </w:tcPr>
          <w:p>
            <w:pPr>
              <w:pStyle w:val="TableParagraph"/>
              <w:spacing w:before="12"/>
              <w:ind w:left="345" w:right="332"/>
              <w:rPr>
                <w:rFonts w:ascii="Times New Roman"/>
                <w:sz w:val="21"/>
              </w:rPr>
            </w:pPr>
            <w:r>
              <w:rPr>
                <w:rFonts w:ascii="Times New Roman"/>
                <w:sz w:val="21"/>
              </w:rPr>
              <w:t>--</w:t>
            </w:r>
          </w:p>
        </w:tc>
        <w:tc>
          <w:tcPr>
            <w:tcW w:w="1562" w:type="dxa"/>
          </w:tcPr>
          <w:p>
            <w:pPr>
              <w:pStyle w:val="TableParagraph"/>
              <w:spacing w:before="12"/>
              <w:ind w:left="364" w:right="357"/>
              <w:rPr>
                <w:rFonts w:ascii="Times New Roman"/>
                <w:sz w:val="21"/>
              </w:rPr>
            </w:pPr>
            <w:r>
              <w:rPr>
                <w:rFonts w:ascii="Times New Roman"/>
                <w:sz w:val="21"/>
              </w:rPr>
              <w:t>153.4</w:t>
            </w:r>
          </w:p>
        </w:tc>
        <w:tc>
          <w:tcPr>
            <w:tcW w:w="1440" w:type="dxa"/>
          </w:tcPr>
          <w:p>
            <w:pPr>
              <w:pStyle w:val="TableParagraph"/>
              <w:spacing w:before="12"/>
              <w:ind w:left="69" w:right="53"/>
              <w:rPr>
                <w:rFonts w:ascii="Times New Roman"/>
                <w:sz w:val="21"/>
              </w:rPr>
            </w:pPr>
            <w:r>
              <w:rPr>
                <w:rFonts w:ascii="Times New Roman"/>
                <w:sz w:val="21"/>
              </w:rPr>
              <w:t>--</w:t>
            </w:r>
          </w:p>
        </w:tc>
        <w:tc>
          <w:tcPr>
            <w:tcW w:w="2714" w:type="dxa"/>
          </w:tcPr>
          <w:p>
            <w:pPr>
              <w:pStyle w:val="TableParagraph"/>
              <w:spacing w:line="255" w:lineRule="exact" w:before="6"/>
              <w:ind w:left="1147"/>
              <w:jc w:val="left"/>
              <w:rPr>
                <w:sz w:val="21"/>
              </w:rPr>
            </w:pPr>
            <w:r>
              <w:rPr>
                <w:sz w:val="21"/>
              </w:rPr>
              <w:t>液态</w:t>
            </w:r>
          </w:p>
        </w:tc>
      </w:tr>
      <w:tr>
        <w:trPr>
          <w:trHeight w:val="277" w:hRule="atLeast"/>
        </w:trPr>
        <w:tc>
          <w:tcPr>
            <w:tcW w:w="648" w:type="dxa"/>
          </w:tcPr>
          <w:p>
            <w:pPr>
              <w:pStyle w:val="TableParagraph"/>
              <w:spacing w:before="12"/>
              <w:ind w:left="93" w:right="84"/>
              <w:rPr>
                <w:rFonts w:ascii="Times New Roman"/>
                <w:sz w:val="21"/>
              </w:rPr>
            </w:pPr>
            <w:r>
              <w:rPr>
                <w:rFonts w:ascii="Times New Roman"/>
                <w:sz w:val="21"/>
              </w:rPr>
              <w:t>10</w:t>
            </w:r>
          </w:p>
        </w:tc>
        <w:tc>
          <w:tcPr>
            <w:tcW w:w="3943" w:type="dxa"/>
          </w:tcPr>
          <w:p>
            <w:pPr>
              <w:pStyle w:val="TableParagraph"/>
              <w:spacing w:line="252" w:lineRule="exact" w:before="6"/>
              <w:ind w:left="1081" w:right="1072"/>
              <w:rPr>
                <w:sz w:val="21"/>
              </w:rPr>
            </w:pPr>
            <w:r>
              <w:rPr>
                <w:sz w:val="21"/>
              </w:rPr>
              <w:t>氨水（</w:t>
            </w:r>
            <w:r>
              <w:rPr>
                <w:rFonts w:ascii="Times New Roman" w:eastAsia="Times New Roman"/>
                <w:sz w:val="21"/>
              </w:rPr>
              <w:t>10%</w:t>
            </w:r>
            <w:r>
              <w:rPr>
                <w:sz w:val="21"/>
              </w:rPr>
              <w:t>）</w:t>
            </w:r>
          </w:p>
        </w:tc>
        <w:tc>
          <w:tcPr>
            <w:tcW w:w="1457" w:type="dxa"/>
          </w:tcPr>
          <w:p>
            <w:pPr>
              <w:pStyle w:val="TableParagraph"/>
              <w:spacing w:line="252" w:lineRule="exact" w:before="6"/>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2195.6</w:t>
            </w:r>
          </w:p>
        </w:tc>
        <w:tc>
          <w:tcPr>
            <w:tcW w:w="1440" w:type="dxa"/>
          </w:tcPr>
          <w:p>
            <w:pPr>
              <w:pStyle w:val="TableParagraph"/>
              <w:spacing w:before="12"/>
              <w:ind w:left="69" w:right="55"/>
              <w:rPr>
                <w:rFonts w:ascii="Times New Roman"/>
                <w:sz w:val="21"/>
              </w:rPr>
            </w:pPr>
            <w:r>
              <w:rPr>
                <w:rFonts w:ascii="Times New Roman"/>
                <w:sz w:val="21"/>
              </w:rPr>
              <w:t>25</w:t>
            </w:r>
          </w:p>
        </w:tc>
        <w:tc>
          <w:tcPr>
            <w:tcW w:w="2714" w:type="dxa"/>
          </w:tcPr>
          <w:p>
            <w:pPr>
              <w:pStyle w:val="TableParagraph"/>
              <w:spacing w:line="252" w:lineRule="exact" w:before="6"/>
              <w:ind w:left="1147"/>
              <w:jc w:val="left"/>
              <w:rPr>
                <w:sz w:val="21"/>
              </w:rPr>
            </w:pPr>
            <w:r>
              <w:rPr>
                <w:sz w:val="21"/>
              </w:rPr>
              <w:t>液态</w:t>
            </w:r>
          </w:p>
        </w:tc>
      </w:tr>
      <w:tr>
        <w:trPr>
          <w:trHeight w:val="280" w:hRule="atLeast"/>
        </w:trPr>
        <w:tc>
          <w:tcPr>
            <w:tcW w:w="648" w:type="dxa"/>
          </w:tcPr>
          <w:p>
            <w:pPr>
              <w:pStyle w:val="TableParagraph"/>
              <w:spacing w:before="12"/>
              <w:ind w:left="91" w:right="84"/>
              <w:rPr>
                <w:rFonts w:ascii="Times New Roman"/>
                <w:sz w:val="21"/>
              </w:rPr>
            </w:pPr>
            <w:r>
              <w:rPr>
                <w:rFonts w:ascii="Times New Roman"/>
                <w:sz w:val="21"/>
              </w:rPr>
              <w:t>11</w:t>
            </w:r>
          </w:p>
        </w:tc>
        <w:tc>
          <w:tcPr>
            <w:tcW w:w="3943" w:type="dxa"/>
          </w:tcPr>
          <w:p>
            <w:pPr>
              <w:pStyle w:val="TableParagraph"/>
              <w:spacing w:line="255" w:lineRule="exact" w:before="5"/>
              <w:ind w:left="1081" w:right="1069"/>
              <w:rPr>
                <w:sz w:val="21"/>
              </w:rPr>
            </w:pPr>
            <w:r>
              <w:rPr>
                <w:sz w:val="21"/>
              </w:rPr>
              <w:t>醋酸钠</w:t>
            </w:r>
          </w:p>
        </w:tc>
        <w:tc>
          <w:tcPr>
            <w:tcW w:w="1457" w:type="dxa"/>
          </w:tcPr>
          <w:p>
            <w:pPr>
              <w:pStyle w:val="TableParagraph"/>
              <w:spacing w:line="255" w:lineRule="exact" w:before="5"/>
              <w:ind w:left="288" w:right="276"/>
              <w:rPr>
                <w:sz w:val="21"/>
              </w:rPr>
            </w:pPr>
            <w:r>
              <w:rPr>
                <w:sz w:val="21"/>
              </w:rPr>
              <w:t>袋装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228.84</w:t>
            </w:r>
          </w:p>
        </w:tc>
        <w:tc>
          <w:tcPr>
            <w:tcW w:w="1440" w:type="dxa"/>
          </w:tcPr>
          <w:p>
            <w:pPr>
              <w:pStyle w:val="TableParagraph"/>
              <w:spacing w:before="12"/>
              <w:ind w:left="14"/>
              <w:rPr>
                <w:rFonts w:ascii="Times New Roman"/>
                <w:sz w:val="21"/>
              </w:rPr>
            </w:pPr>
            <w:r>
              <w:rPr>
                <w:rFonts w:ascii="Times New Roman"/>
                <w:w w:val="100"/>
                <w:sz w:val="21"/>
              </w:rPr>
              <w:t>6</w:t>
            </w:r>
          </w:p>
        </w:tc>
        <w:tc>
          <w:tcPr>
            <w:tcW w:w="2714" w:type="dxa"/>
          </w:tcPr>
          <w:p>
            <w:pPr>
              <w:pStyle w:val="TableParagraph"/>
              <w:spacing w:line="255" w:lineRule="exact" w:before="5"/>
              <w:ind w:left="1147"/>
              <w:jc w:val="left"/>
              <w:rPr>
                <w:sz w:val="21"/>
              </w:rPr>
            </w:pPr>
            <w:r>
              <w:rPr>
                <w:sz w:val="21"/>
              </w:rPr>
              <w:t>固态</w:t>
            </w:r>
          </w:p>
        </w:tc>
      </w:tr>
      <w:tr>
        <w:trPr>
          <w:trHeight w:val="280" w:hRule="atLeast"/>
        </w:trPr>
        <w:tc>
          <w:tcPr>
            <w:tcW w:w="648" w:type="dxa"/>
          </w:tcPr>
          <w:p>
            <w:pPr>
              <w:pStyle w:val="TableParagraph"/>
              <w:spacing w:before="12"/>
              <w:ind w:left="93" w:right="84"/>
              <w:rPr>
                <w:rFonts w:ascii="Times New Roman"/>
                <w:sz w:val="21"/>
              </w:rPr>
            </w:pPr>
            <w:r>
              <w:rPr>
                <w:rFonts w:ascii="Times New Roman"/>
                <w:sz w:val="21"/>
              </w:rPr>
              <w:t>12</w:t>
            </w:r>
          </w:p>
        </w:tc>
        <w:tc>
          <w:tcPr>
            <w:tcW w:w="3943" w:type="dxa"/>
          </w:tcPr>
          <w:p>
            <w:pPr>
              <w:pStyle w:val="TableParagraph"/>
              <w:spacing w:line="255" w:lineRule="exact" w:before="5"/>
              <w:ind w:left="1081" w:right="1070"/>
              <w:rPr>
                <w:sz w:val="21"/>
              </w:rPr>
            </w:pPr>
            <w:r>
              <w:rPr>
                <w:sz w:val="21"/>
              </w:rPr>
              <w:t>多元醇混合酯</w:t>
            </w:r>
          </w:p>
        </w:tc>
        <w:tc>
          <w:tcPr>
            <w:tcW w:w="1457" w:type="dxa"/>
          </w:tcPr>
          <w:p>
            <w:pPr>
              <w:pStyle w:val="TableParagraph"/>
              <w:spacing w:line="255" w:lineRule="exact" w:before="5"/>
              <w:ind w:left="288" w:right="276"/>
              <w:rPr>
                <w:sz w:val="21"/>
              </w:rPr>
            </w:pPr>
            <w:r>
              <w:rPr>
                <w:sz w:val="21"/>
              </w:rPr>
              <w:t>罐装</w:t>
            </w:r>
          </w:p>
        </w:tc>
        <w:tc>
          <w:tcPr>
            <w:tcW w:w="1572" w:type="dxa"/>
          </w:tcPr>
          <w:p>
            <w:pPr>
              <w:pStyle w:val="TableParagraph"/>
              <w:jc w:val="left"/>
              <w:rPr>
                <w:rFonts w:ascii="Times New Roman"/>
                <w:sz w:val="20"/>
              </w:rPr>
            </w:pPr>
          </w:p>
        </w:tc>
        <w:tc>
          <w:tcPr>
            <w:tcW w:w="1562" w:type="dxa"/>
          </w:tcPr>
          <w:p>
            <w:pPr>
              <w:pStyle w:val="TableParagraph"/>
              <w:spacing w:before="12"/>
              <w:ind w:left="364" w:right="357"/>
              <w:rPr>
                <w:rFonts w:ascii="Times New Roman"/>
                <w:sz w:val="21"/>
              </w:rPr>
            </w:pPr>
            <w:r>
              <w:rPr>
                <w:rFonts w:ascii="Times New Roman"/>
                <w:sz w:val="21"/>
              </w:rPr>
              <w:t>20000</w:t>
            </w:r>
          </w:p>
        </w:tc>
        <w:tc>
          <w:tcPr>
            <w:tcW w:w="1440" w:type="dxa"/>
          </w:tcPr>
          <w:p>
            <w:pPr>
              <w:pStyle w:val="TableParagraph"/>
              <w:spacing w:before="12"/>
              <w:ind w:left="69" w:right="55"/>
              <w:rPr>
                <w:rFonts w:ascii="Times New Roman"/>
                <w:sz w:val="21"/>
              </w:rPr>
            </w:pPr>
            <w:r>
              <w:rPr>
                <w:rFonts w:ascii="Times New Roman"/>
                <w:sz w:val="21"/>
              </w:rPr>
              <w:t>300</w:t>
            </w:r>
          </w:p>
        </w:tc>
        <w:tc>
          <w:tcPr>
            <w:tcW w:w="2714" w:type="dxa"/>
          </w:tcPr>
          <w:p>
            <w:pPr>
              <w:pStyle w:val="TableParagraph"/>
              <w:spacing w:line="255" w:lineRule="exact" w:before="5"/>
              <w:ind w:left="1147"/>
              <w:jc w:val="left"/>
              <w:rPr>
                <w:sz w:val="21"/>
              </w:rPr>
            </w:pPr>
            <w:r>
              <w:rPr>
                <w:sz w:val="21"/>
              </w:rPr>
              <w:t>液态</w:t>
            </w:r>
          </w:p>
        </w:tc>
      </w:tr>
      <w:tr>
        <w:trPr>
          <w:trHeight w:val="280" w:hRule="atLeast"/>
        </w:trPr>
        <w:tc>
          <w:tcPr>
            <w:tcW w:w="648" w:type="dxa"/>
          </w:tcPr>
          <w:p>
            <w:pPr>
              <w:pStyle w:val="TableParagraph"/>
              <w:spacing w:before="12"/>
              <w:ind w:left="93" w:right="84"/>
              <w:rPr>
                <w:rFonts w:ascii="Times New Roman"/>
                <w:sz w:val="21"/>
              </w:rPr>
            </w:pPr>
            <w:r>
              <w:rPr>
                <w:rFonts w:ascii="Times New Roman"/>
                <w:sz w:val="21"/>
              </w:rPr>
              <w:t>13</w:t>
            </w:r>
          </w:p>
        </w:tc>
        <w:tc>
          <w:tcPr>
            <w:tcW w:w="3943" w:type="dxa"/>
          </w:tcPr>
          <w:p>
            <w:pPr>
              <w:pStyle w:val="TableParagraph"/>
              <w:spacing w:line="255" w:lineRule="exact" w:before="5"/>
              <w:ind w:left="1081" w:right="1069"/>
              <w:rPr>
                <w:sz w:val="21"/>
              </w:rPr>
            </w:pPr>
            <w:r>
              <w:rPr>
                <w:sz w:val="21"/>
              </w:rPr>
              <w:t>天然气</w:t>
            </w:r>
          </w:p>
        </w:tc>
        <w:tc>
          <w:tcPr>
            <w:tcW w:w="1457" w:type="dxa"/>
          </w:tcPr>
          <w:p>
            <w:pPr>
              <w:pStyle w:val="TableParagraph"/>
              <w:spacing w:line="255" w:lineRule="exact" w:before="5"/>
              <w:ind w:left="288" w:right="276"/>
              <w:rPr>
                <w:sz w:val="21"/>
              </w:rPr>
            </w:pPr>
            <w:r>
              <w:rPr>
                <w:sz w:val="21"/>
              </w:rPr>
              <w:t>管道</w:t>
            </w:r>
          </w:p>
        </w:tc>
        <w:tc>
          <w:tcPr>
            <w:tcW w:w="1572" w:type="dxa"/>
          </w:tcPr>
          <w:p>
            <w:pPr>
              <w:pStyle w:val="TableParagraph"/>
              <w:jc w:val="left"/>
              <w:rPr>
                <w:rFonts w:ascii="Times New Roman"/>
                <w:sz w:val="20"/>
              </w:rPr>
            </w:pPr>
          </w:p>
        </w:tc>
        <w:tc>
          <w:tcPr>
            <w:tcW w:w="1562" w:type="dxa"/>
          </w:tcPr>
          <w:p>
            <w:pPr>
              <w:pStyle w:val="TableParagraph"/>
              <w:spacing w:line="255" w:lineRule="exact" w:before="5"/>
              <w:ind w:left="141"/>
              <w:jc w:val="left"/>
              <w:rPr>
                <w:rFonts w:ascii="Times New Roman" w:eastAsia="Times New Roman"/>
                <w:sz w:val="21"/>
              </w:rPr>
            </w:pPr>
            <w:r>
              <w:rPr>
                <w:rFonts w:ascii="Times New Roman" w:eastAsia="Times New Roman"/>
                <w:sz w:val="21"/>
              </w:rPr>
              <w:t>265.48 </w:t>
            </w:r>
            <w:r>
              <w:rPr>
                <w:sz w:val="21"/>
              </w:rPr>
              <w:t>万 </w:t>
            </w:r>
            <w:r>
              <w:rPr>
                <w:rFonts w:ascii="Times New Roman" w:eastAsia="Times New Roman"/>
                <w:sz w:val="21"/>
              </w:rPr>
              <w:t>Nm</w:t>
            </w:r>
            <w:r>
              <w:rPr>
                <w:rFonts w:ascii="Times New Roman" w:eastAsia="Times New Roman"/>
                <w:sz w:val="21"/>
                <w:vertAlign w:val="superscript"/>
              </w:rPr>
              <w:t>3</w:t>
            </w:r>
          </w:p>
        </w:tc>
        <w:tc>
          <w:tcPr>
            <w:tcW w:w="1440" w:type="dxa"/>
          </w:tcPr>
          <w:p>
            <w:pPr>
              <w:pStyle w:val="TableParagraph"/>
              <w:spacing w:before="12"/>
              <w:ind w:left="69" w:right="53"/>
              <w:rPr>
                <w:rFonts w:ascii="Times New Roman"/>
                <w:sz w:val="21"/>
              </w:rPr>
            </w:pPr>
            <w:r>
              <w:rPr>
                <w:rFonts w:ascii="Times New Roman"/>
                <w:sz w:val="21"/>
              </w:rPr>
              <w:t>--</w:t>
            </w:r>
          </w:p>
        </w:tc>
        <w:tc>
          <w:tcPr>
            <w:tcW w:w="2714" w:type="dxa"/>
          </w:tcPr>
          <w:p>
            <w:pPr>
              <w:pStyle w:val="TableParagraph"/>
              <w:spacing w:line="255" w:lineRule="exact" w:before="5"/>
              <w:ind w:left="1147"/>
              <w:jc w:val="left"/>
              <w:rPr>
                <w:sz w:val="21"/>
              </w:rPr>
            </w:pPr>
            <w:r>
              <w:rPr>
                <w:sz w:val="21"/>
              </w:rPr>
              <w:t>气态</w:t>
            </w:r>
          </w:p>
        </w:tc>
      </w:tr>
      <w:tr>
        <w:trPr>
          <w:trHeight w:val="280" w:hRule="atLeast"/>
        </w:trPr>
        <w:tc>
          <w:tcPr>
            <w:tcW w:w="648" w:type="dxa"/>
          </w:tcPr>
          <w:p>
            <w:pPr>
              <w:pStyle w:val="TableParagraph"/>
              <w:spacing w:before="12"/>
              <w:ind w:left="93" w:right="84"/>
              <w:rPr>
                <w:rFonts w:ascii="Times New Roman"/>
                <w:sz w:val="21"/>
              </w:rPr>
            </w:pPr>
            <w:r>
              <w:rPr>
                <w:rFonts w:ascii="Times New Roman"/>
                <w:sz w:val="21"/>
              </w:rPr>
              <w:t>14</w:t>
            </w:r>
          </w:p>
        </w:tc>
        <w:tc>
          <w:tcPr>
            <w:tcW w:w="3943" w:type="dxa"/>
          </w:tcPr>
          <w:p>
            <w:pPr>
              <w:pStyle w:val="TableParagraph"/>
              <w:spacing w:line="255" w:lineRule="exact" w:before="5"/>
              <w:ind w:left="1081" w:right="1069"/>
              <w:rPr>
                <w:sz w:val="21"/>
              </w:rPr>
            </w:pPr>
            <w:r>
              <w:rPr>
                <w:sz w:val="21"/>
              </w:rPr>
              <w:t>甲醇</w:t>
            </w:r>
          </w:p>
        </w:tc>
        <w:tc>
          <w:tcPr>
            <w:tcW w:w="1457" w:type="dxa"/>
          </w:tcPr>
          <w:p>
            <w:pPr>
              <w:pStyle w:val="TableParagraph"/>
              <w:spacing w:line="255" w:lineRule="exact" w:before="5"/>
              <w:ind w:left="288" w:right="276"/>
              <w:rPr>
                <w:sz w:val="21"/>
              </w:rPr>
            </w:pPr>
            <w:r>
              <w:rPr>
                <w:sz w:val="21"/>
              </w:rPr>
              <w:t>罐装</w:t>
            </w:r>
          </w:p>
        </w:tc>
        <w:tc>
          <w:tcPr>
            <w:tcW w:w="1572" w:type="dxa"/>
          </w:tcPr>
          <w:p>
            <w:pPr>
              <w:pStyle w:val="TableParagraph"/>
              <w:jc w:val="left"/>
              <w:rPr>
                <w:rFonts w:ascii="Times New Roman"/>
                <w:sz w:val="20"/>
              </w:rPr>
            </w:pPr>
          </w:p>
        </w:tc>
        <w:tc>
          <w:tcPr>
            <w:tcW w:w="1562" w:type="dxa"/>
            <w:vMerge w:val="restart"/>
          </w:tcPr>
          <w:p>
            <w:pPr>
              <w:pStyle w:val="TableParagraph"/>
              <w:spacing w:before="151"/>
              <w:ind w:left="364" w:right="357"/>
              <w:rPr>
                <w:rFonts w:ascii="Times New Roman"/>
                <w:sz w:val="21"/>
              </w:rPr>
            </w:pPr>
            <w:r>
              <w:rPr>
                <w:rFonts w:ascii="Times New Roman"/>
                <w:sz w:val="21"/>
              </w:rPr>
              <w:t>155</w:t>
            </w:r>
          </w:p>
        </w:tc>
        <w:tc>
          <w:tcPr>
            <w:tcW w:w="1440" w:type="dxa"/>
          </w:tcPr>
          <w:p>
            <w:pPr>
              <w:pStyle w:val="TableParagraph"/>
              <w:spacing w:before="12"/>
              <w:ind w:left="69" w:right="55"/>
              <w:rPr>
                <w:rFonts w:ascii="Times New Roman"/>
                <w:sz w:val="21"/>
              </w:rPr>
            </w:pPr>
            <w:r>
              <w:rPr>
                <w:rFonts w:ascii="Times New Roman"/>
                <w:sz w:val="21"/>
              </w:rPr>
              <w:t>2.4</w:t>
            </w:r>
          </w:p>
        </w:tc>
        <w:tc>
          <w:tcPr>
            <w:tcW w:w="2714" w:type="dxa"/>
          </w:tcPr>
          <w:p>
            <w:pPr>
              <w:pStyle w:val="TableParagraph"/>
              <w:spacing w:line="255" w:lineRule="exact" w:before="5"/>
              <w:ind w:left="1147"/>
              <w:jc w:val="left"/>
              <w:rPr>
                <w:sz w:val="21"/>
              </w:rPr>
            </w:pPr>
            <w:r>
              <w:rPr>
                <w:sz w:val="21"/>
              </w:rPr>
              <w:t>液态</w:t>
            </w:r>
          </w:p>
        </w:tc>
      </w:tr>
      <w:tr>
        <w:trPr>
          <w:trHeight w:val="280" w:hRule="atLeast"/>
        </w:trPr>
        <w:tc>
          <w:tcPr>
            <w:tcW w:w="648" w:type="dxa"/>
          </w:tcPr>
          <w:p>
            <w:pPr>
              <w:pStyle w:val="TableParagraph"/>
              <w:spacing w:before="12"/>
              <w:ind w:left="93" w:right="84"/>
              <w:rPr>
                <w:rFonts w:ascii="Times New Roman"/>
                <w:sz w:val="21"/>
              </w:rPr>
            </w:pPr>
            <w:r>
              <w:rPr>
                <w:rFonts w:ascii="Times New Roman"/>
                <w:sz w:val="21"/>
              </w:rPr>
              <w:t>15</w:t>
            </w:r>
          </w:p>
        </w:tc>
        <w:tc>
          <w:tcPr>
            <w:tcW w:w="3943" w:type="dxa"/>
          </w:tcPr>
          <w:p>
            <w:pPr>
              <w:pStyle w:val="TableParagraph"/>
              <w:spacing w:line="255" w:lineRule="exact" w:before="5"/>
              <w:ind w:left="1081" w:right="1069"/>
              <w:rPr>
                <w:sz w:val="21"/>
              </w:rPr>
            </w:pPr>
            <w:r>
              <w:rPr>
                <w:sz w:val="21"/>
              </w:rPr>
              <w:t>丙酮</w:t>
            </w:r>
          </w:p>
        </w:tc>
        <w:tc>
          <w:tcPr>
            <w:tcW w:w="1457" w:type="dxa"/>
          </w:tcPr>
          <w:p>
            <w:pPr>
              <w:pStyle w:val="TableParagraph"/>
              <w:spacing w:line="255" w:lineRule="exact" w:before="5"/>
              <w:ind w:left="288" w:right="276"/>
              <w:rPr>
                <w:sz w:val="21"/>
              </w:rPr>
            </w:pPr>
            <w:r>
              <w:rPr>
                <w:sz w:val="21"/>
              </w:rPr>
              <w:t>罐装</w:t>
            </w:r>
          </w:p>
        </w:tc>
        <w:tc>
          <w:tcPr>
            <w:tcW w:w="1572" w:type="dxa"/>
          </w:tcPr>
          <w:p>
            <w:pPr>
              <w:pStyle w:val="TableParagraph"/>
              <w:jc w:val="left"/>
              <w:rPr>
                <w:rFonts w:ascii="Times New Roman"/>
                <w:sz w:val="20"/>
              </w:rPr>
            </w:pPr>
          </w:p>
        </w:tc>
        <w:tc>
          <w:tcPr>
            <w:tcW w:w="1562" w:type="dxa"/>
            <w:vMerge/>
            <w:tcBorders>
              <w:top w:val="nil"/>
            </w:tcBorders>
          </w:tcPr>
          <w:p>
            <w:pPr>
              <w:rPr>
                <w:sz w:val="2"/>
                <w:szCs w:val="2"/>
              </w:rPr>
            </w:pPr>
          </w:p>
        </w:tc>
        <w:tc>
          <w:tcPr>
            <w:tcW w:w="1440" w:type="dxa"/>
          </w:tcPr>
          <w:p>
            <w:pPr>
              <w:pStyle w:val="TableParagraph"/>
              <w:spacing w:before="12"/>
              <w:ind w:left="69" w:right="55"/>
              <w:rPr>
                <w:rFonts w:ascii="Times New Roman"/>
                <w:sz w:val="21"/>
              </w:rPr>
            </w:pPr>
            <w:r>
              <w:rPr>
                <w:rFonts w:ascii="Times New Roman"/>
                <w:sz w:val="21"/>
              </w:rPr>
              <w:t>2.5</w:t>
            </w:r>
          </w:p>
        </w:tc>
        <w:tc>
          <w:tcPr>
            <w:tcW w:w="2714" w:type="dxa"/>
          </w:tcPr>
          <w:p>
            <w:pPr>
              <w:pStyle w:val="TableParagraph"/>
              <w:spacing w:line="255" w:lineRule="exact" w:before="5"/>
              <w:ind w:left="1147"/>
              <w:jc w:val="left"/>
              <w:rPr>
                <w:sz w:val="21"/>
              </w:rPr>
            </w:pPr>
            <w:r>
              <w:rPr>
                <w:sz w:val="21"/>
              </w:rPr>
              <w:t>液态</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rPr>
      </w:pPr>
    </w:p>
    <w:p>
      <w:pPr>
        <w:spacing w:before="0"/>
        <w:ind w:left="869" w:right="0" w:firstLine="0"/>
        <w:jc w:val="center"/>
        <w:rPr>
          <w:rFonts w:ascii="Times New Roman"/>
          <w:sz w:val="21"/>
        </w:rPr>
      </w:pPr>
      <w:r>
        <w:rPr>
          <w:rFonts w:ascii="Times New Roman"/>
          <w:w w:val="100"/>
          <w:sz w:val="21"/>
        </w:rPr>
        <w:t>8</w:t>
      </w:r>
    </w:p>
    <w:p>
      <w:pPr>
        <w:spacing w:after="0"/>
        <w:jc w:val="center"/>
        <w:rPr>
          <w:rFonts w:ascii="Times New Roman"/>
          <w:sz w:val="21"/>
        </w:rPr>
        <w:sectPr>
          <w:footerReference w:type="default" r:id="rId36"/>
          <w:pgSz w:w="16840" w:h="11910" w:orient="landscape"/>
          <w:pgMar w:footer="0" w:header="0" w:top="1100" w:bottom="280" w:left="920" w:right="2360"/>
        </w:sectPr>
      </w:pPr>
    </w:p>
    <w:p>
      <w:pPr>
        <w:tabs>
          <w:tab w:pos="1339" w:val="left" w:leader="none"/>
        </w:tabs>
        <w:spacing w:before="102"/>
        <w:ind w:left="0" w:right="1" w:firstLine="0"/>
        <w:jc w:val="center"/>
        <w:rPr>
          <w:b/>
          <w:sz w:val="28"/>
        </w:rPr>
      </w:pPr>
      <w:r>
        <w:rPr>
          <w:b/>
          <w:sz w:val="28"/>
        </w:rPr>
        <w:t>表</w:t>
      </w:r>
      <w:r>
        <w:rPr>
          <w:b/>
          <w:spacing w:val="-71"/>
          <w:sz w:val="28"/>
        </w:rPr>
        <w:t> </w:t>
      </w:r>
      <w:r>
        <w:rPr>
          <w:b/>
          <w:sz w:val="28"/>
        </w:rPr>
        <w:t>3-1-2</w:t>
        <w:tab/>
        <w:t>醋酸的理化性质及危险特性表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089"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spacing w:before="2"/>
              <w:ind w:left="527"/>
              <w:jc w:val="left"/>
              <w:rPr>
                <w:sz w:val="21"/>
              </w:rPr>
            </w:pPr>
            <w:r>
              <w:rPr>
                <w:sz w:val="21"/>
              </w:rPr>
              <w:t>学品中文名称</w:t>
            </w:r>
            <w:r>
              <w:rPr>
                <w:rFonts w:ascii="Times New Roman" w:eastAsia="Times New Roman"/>
                <w:sz w:val="21"/>
              </w:rPr>
              <w:t>: </w:t>
            </w:r>
            <w:r>
              <w:rPr>
                <w:sz w:val="21"/>
              </w:rPr>
              <w:t>乙酸 化学品俗名或商品名</w:t>
            </w:r>
            <w:r>
              <w:rPr>
                <w:rFonts w:ascii="Times New Roman" w:eastAsia="Times New Roman"/>
                <w:sz w:val="21"/>
              </w:rPr>
              <w:t>: </w:t>
            </w:r>
            <w:r>
              <w:rPr>
                <w:sz w:val="21"/>
              </w:rPr>
              <w:t>醋酸 化学品英文名称</w:t>
            </w:r>
            <w:r>
              <w:rPr>
                <w:rFonts w:ascii="Times New Roman" w:eastAsia="Times New Roman"/>
                <w:sz w:val="21"/>
              </w:rPr>
              <w:t>: acetic acidCAS No. </w:t>
            </w:r>
            <w:r>
              <w:rPr>
                <w:sz w:val="21"/>
              </w:rPr>
              <w:t>：</w:t>
            </w:r>
          </w:p>
          <w:p>
            <w:pPr>
              <w:pStyle w:val="TableParagraph"/>
              <w:spacing w:line="270" w:lineRule="atLeast" w:before="3"/>
              <w:ind w:left="107" w:right="302"/>
              <w:jc w:val="left"/>
              <w:rPr>
                <w:sz w:val="21"/>
              </w:rPr>
            </w:pPr>
            <w:r>
              <w:rPr>
                <w:rFonts w:ascii="Times New Roman" w:eastAsia="Times New Roman"/>
                <w:sz w:val="21"/>
              </w:rPr>
              <w:t>64-19-7 </w:t>
            </w:r>
            <w:r>
              <w:rPr>
                <w:sz w:val="21"/>
              </w:rPr>
              <w:t>分子式：</w:t>
            </w:r>
            <w:r>
              <w:rPr>
                <w:rFonts w:ascii="Times New Roman" w:eastAsia="Times New Roman"/>
                <w:sz w:val="21"/>
              </w:rPr>
              <w:t>C2H4O2 </w:t>
            </w:r>
            <w:r>
              <w:rPr>
                <w:sz w:val="21"/>
              </w:rPr>
              <w:t>分子量：</w:t>
            </w:r>
            <w:r>
              <w:rPr>
                <w:rFonts w:ascii="Times New Roman" w:eastAsia="Times New Roman"/>
                <w:sz w:val="21"/>
              </w:rPr>
              <w:t>60.05 </w:t>
            </w:r>
            <w:r>
              <w:rPr>
                <w:sz w:val="21"/>
              </w:rPr>
              <w:t>危规编号</w:t>
            </w:r>
            <w:r>
              <w:rPr>
                <w:rFonts w:ascii="Times New Roman" w:eastAsia="Times New Roman"/>
                <w:sz w:val="21"/>
              </w:rPr>
              <w:t>:81601UN </w:t>
            </w:r>
            <w:r>
              <w:rPr>
                <w:sz w:val="21"/>
              </w:rPr>
              <w:t>编号</w:t>
            </w:r>
            <w:r>
              <w:rPr>
                <w:rFonts w:ascii="Times New Roman" w:eastAsia="Times New Roman"/>
                <w:sz w:val="21"/>
              </w:rPr>
              <w:t>:2789 </w:t>
            </w:r>
            <w:r>
              <w:rPr>
                <w:sz w:val="21"/>
              </w:rPr>
              <w:t>危险性类别：第 </w:t>
            </w:r>
            <w:r>
              <w:rPr>
                <w:rFonts w:ascii="Times New Roman" w:eastAsia="Times New Roman"/>
                <w:sz w:val="21"/>
              </w:rPr>
              <w:t>8.1 </w:t>
            </w:r>
            <w:r>
              <w:rPr>
                <w:sz w:val="21"/>
              </w:rPr>
              <w:t>类酸性腐蚀品</w:t>
            </w:r>
          </w:p>
        </w:tc>
      </w:tr>
      <w:tr>
        <w:trPr>
          <w:trHeight w:val="1905"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line="242" w:lineRule="auto" w:before="2"/>
              <w:ind w:left="107" w:right="-15" w:firstLine="419"/>
              <w:jc w:val="left"/>
              <w:rPr>
                <w:sz w:val="21"/>
              </w:rPr>
            </w:pPr>
            <w:r>
              <w:rPr>
                <w:sz w:val="21"/>
              </w:rPr>
              <w:t>健康危害：吸入本品蒸气对鼻、喉和呼吸道有刺激性，对眼有强烈刺激作用，皮肤接触，轻</w:t>
            </w:r>
            <w:r>
              <w:rPr>
                <w:spacing w:val="-8"/>
                <w:sz w:val="21"/>
              </w:rPr>
              <w:t>者出现红斑，重者引起化学灼伤，误服浓乙酸，口腔和消化道可产生糜烂，重者可因休克而致死； 慢性影响：眼睑水肿、结膜充血、慢性咽炎和支气管炎，长期反复接触，可致皮肤干燥、脱脂和皮炎。</w:t>
            </w:r>
          </w:p>
          <w:p>
            <w:pPr>
              <w:pStyle w:val="TableParagraph"/>
              <w:tabs>
                <w:tab w:pos="7319" w:val="left" w:leader="none"/>
              </w:tabs>
              <w:spacing w:before="2"/>
              <w:ind w:left="527"/>
              <w:jc w:val="left"/>
              <w:rPr>
                <w:sz w:val="21"/>
              </w:rPr>
            </w:pPr>
            <w:r>
              <w:rPr>
                <w:sz w:val="21"/>
              </w:rPr>
              <w:t>燃爆</w:t>
            </w:r>
            <w:r>
              <w:rPr>
                <w:spacing w:val="-3"/>
                <w:sz w:val="21"/>
              </w:rPr>
              <w:t>危险</w:t>
            </w:r>
            <w:r>
              <w:rPr>
                <w:spacing w:val="-17"/>
                <w:sz w:val="21"/>
              </w:rPr>
              <w:t>：</w:t>
            </w:r>
            <w:r>
              <w:rPr>
                <w:spacing w:val="-3"/>
                <w:sz w:val="21"/>
              </w:rPr>
              <w:t>本</w:t>
            </w:r>
            <w:r>
              <w:rPr>
                <w:sz w:val="21"/>
              </w:rPr>
              <w:t>品</w:t>
            </w:r>
            <w:r>
              <w:rPr>
                <w:spacing w:val="-3"/>
                <w:sz w:val="21"/>
              </w:rPr>
              <w:t>易</w:t>
            </w:r>
            <w:r>
              <w:rPr>
                <w:sz w:val="21"/>
              </w:rPr>
              <w:t>燃</w:t>
            </w:r>
            <w:r>
              <w:rPr>
                <w:spacing w:val="-19"/>
                <w:sz w:val="21"/>
              </w:rPr>
              <w:t>，</w:t>
            </w:r>
            <w:r>
              <w:rPr>
                <w:spacing w:val="-3"/>
                <w:sz w:val="21"/>
              </w:rPr>
              <w:t>具</w:t>
            </w:r>
            <w:r>
              <w:rPr>
                <w:sz w:val="21"/>
              </w:rPr>
              <w:t>腐蚀</w:t>
            </w:r>
            <w:r>
              <w:rPr>
                <w:spacing w:val="-3"/>
                <w:sz w:val="21"/>
              </w:rPr>
              <w:t>性</w:t>
            </w:r>
            <w:r>
              <w:rPr>
                <w:spacing w:val="-20"/>
                <w:sz w:val="21"/>
              </w:rPr>
              <w:t>、</w:t>
            </w:r>
            <w:r>
              <w:rPr>
                <w:sz w:val="21"/>
              </w:rPr>
              <w:t>强</w:t>
            </w:r>
            <w:r>
              <w:rPr>
                <w:spacing w:val="-3"/>
                <w:sz w:val="21"/>
              </w:rPr>
              <w:t>刺</w:t>
            </w:r>
            <w:r>
              <w:rPr>
                <w:sz w:val="21"/>
              </w:rPr>
              <w:t>激</w:t>
            </w:r>
            <w:r>
              <w:rPr>
                <w:spacing w:val="-3"/>
                <w:sz w:val="21"/>
              </w:rPr>
              <w:t>性</w:t>
            </w:r>
            <w:r>
              <w:rPr>
                <w:spacing w:val="-17"/>
                <w:sz w:val="21"/>
              </w:rPr>
              <w:t>，</w:t>
            </w:r>
            <w:r>
              <w:rPr>
                <w:spacing w:val="-3"/>
                <w:sz w:val="21"/>
              </w:rPr>
              <w:t>可致</w:t>
            </w:r>
            <w:r>
              <w:rPr>
                <w:sz w:val="21"/>
              </w:rPr>
              <w:t>人体</w:t>
            </w:r>
            <w:r>
              <w:rPr>
                <w:spacing w:val="-3"/>
                <w:sz w:val="21"/>
              </w:rPr>
              <w:t>灼</w:t>
            </w:r>
            <w:r>
              <w:rPr>
                <w:sz w:val="21"/>
              </w:rPr>
              <w:t>伤</w:t>
            </w:r>
            <w:r>
              <w:rPr>
                <w:b/>
                <w:sz w:val="21"/>
              </w:rPr>
              <w:t>。</w:t>
              <w:tab/>
            </w:r>
            <w:r>
              <w:rPr>
                <w:spacing w:val="-3"/>
                <w:sz w:val="21"/>
              </w:rPr>
              <w:t>环</w:t>
            </w:r>
            <w:r>
              <w:rPr>
                <w:sz w:val="21"/>
              </w:rPr>
              <w:t>境危</w:t>
            </w:r>
            <w:r>
              <w:rPr>
                <w:spacing w:val="-3"/>
                <w:sz w:val="21"/>
              </w:rPr>
              <w:t>害</w:t>
            </w:r>
            <w:r>
              <w:rPr>
                <w:spacing w:val="-20"/>
                <w:sz w:val="21"/>
              </w:rPr>
              <w:t>：</w:t>
            </w:r>
            <w:r>
              <w:rPr>
                <w:sz w:val="21"/>
              </w:rPr>
              <w:t>对</w:t>
            </w:r>
            <w:r>
              <w:rPr>
                <w:spacing w:val="-3"/>
                <w:sz w:val="21"/>
              </w:rPr>
              <w:t>环</w:t>
            </w:r>
            <w:r>
              <w:rPr>
                <w:sz w:val="21"/>
              </w:rPr>
              <w:t>境</w:t>
            </w:r>
          </w:p>
          <w:p>
            <w:pPr>
              <w:pStyle w:val="TableParagraph"/>
              <w:spacing w:line="250" w:lineRule="exact" w:before="5"/>
              <w:ind w:left="107"/>
              <w:jc w:val="left"/>
              <w:rPr>
                <w:sz w:val="21"/>
              </w:rPr>
            </w:pPr>
            <w:r>
              <w:rPr>
                <w:sz w:val="21"/>
              </w:rPr>
              <w:t>有危害，对水体可造成污染</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急救措施</w:t>
            </w:r>
          </w:p>
          <w:p>
            <w:pPr>
              <w:pStyle w:val="TableParagraph"/>
              <w:spacing w:before="4"/>
              <w:ind w:left="527"/>
              <w:jc w:val="both"/>
              <w:rPr>
                <w:sz w:val="21"/>
              </w:rPr>
            </w:pPr>
            <w:r>
              <w:rPr>
                <w:sz w:val="21"/>
              </w:rPr>
              <w:t>皮肤接触：立即脱去污染的衣着，用大量流动清水冲洗至少 </w:t>
            </w:r>
            <w:r>
              <w:rPr>
                <w:rFonts w:ascii="Times New Roman" w:eastAsia="Times New Roman"/>
                <w:sz w:val="21"/>
              </w:rPr>
              <w:t>15 </w:t>
            </w:r>
            <w:r>
              <w:rPr>
                <w:sz w:val="21"/>
              </w:rPr>
              <w:t>分钟；就医。</w:t>
            </w:r>
          </w:p>
          <w:p>
            <w:pPr>
              <w:pStyle w:val="TableParagraph"/>
              <w:spacing w:line="242" w:lineRule="auto" w:before="2"/>
              <w:ind w:left="107" w:right="90" w:firstLine="419"/>
              <w:jc w:val="both"/>
              <w:rPr>
                <w:sz w:val="21"/>
              </w:rPr>
            </w:pPr>
            <w:r>
              <w:rPr>
                <w:spacing w:val="-18"/>
                <w:sz w:val="21"/>
              </w:rPr>
              <w:t>眼睛接触：立即提起眼睑，用大量流动清水或生理盐水彻底冲洗至少 </w:t>
            </w:r>
            <w:r>
              <w:rPr>
                <w:rFonts w:ascii="Times New Roman" w:eastAsia="Times New Roman"/>
                <w:sz w:val="21"/>
              </w:rPr>
              <w:t>15 </w:t>
            </w:r>
            <w:r>
              <w:rPr>
                <w:spacing w:val="-15"/>
                <w:sz w:val="21"/>
              </w:rPr>
              <w:t>分钟；就医。吸入： 迅速脱离现场至空气新鲜处，保持呼吸道通畅，如呼吸困难，给输氧，如呼吸停止，立即进行人工</w:t>
            </w:r>
            <w:r>
              <w:rPr>
                <w:spacing w:val="-2"/>
                <w:sz w:val="21"/>
              </w:rPr>
              <w:t>呼吸；就医。</w:t>
            </w:r>
          </w:p>
          <w:p>
            <w:pPr>
              <w:pStyle w:val="TableParagraph"/>
              <w:spacing w:line="250" w:lineRule="exact" w:before="3"/>
              <w:ind w:left="527"/>
              <w:jc w:val="both"/>
              <w:rPr>
                <w:sz w:val="21"/>
              </w:rPr>
            </w:pPr>
            <w:r>
              <w:rPr>
                <w:sz w:val="21"/>
              </w:rPr>
              <w:t>食入： 用水漱口，就医</w:t>
            </w:r>
          </w:p>
        </w:tc>
      </w:tr>
      <w:tr>
        <w:trPr>
          <w:trHeight w:val="1636"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消防措施</w:t>
            </w:r>
          </w:p>
          <w:p>
            <w:pPr>
              <w:pStyle w:val="TableParagraph"/>
              <w:spacing w:line="242" w:lineRule="auto" w:before="4"/>
              <w:ind w:left="107" w:right="93" w:firstLine="419"/>
              <w:jc w:val="left"/>
              <w:rPr>
                <w:sz w:val="21"/>
              </w:rPr>
            </w:pPr>
            <w:r>
              <w:rPr>
                <w:sz w:val="21"/>
              </w:rPr>
              <w:t>危险特性：易燃，其蒸气与空气可形成爆炸性混合物，遇明火、高热能引起燃烧爆炸，与铬酸、过氧化钠、硝酸或其它氧化剂接触，有爆炸危险，具有腐蚀性。</w:t>
            </w:r>
          </w:p>
          <w:p>
            <w:pPr>
              <w:pStyle w:val="TableParagraph"/>
              <w:spacing w:before="1"/>
              <w:ind w:left="527"/>
              <w:jc w:val="left"/>
              <w:rPr>
                <w:sz w:val="21"/>
              </w:rPr>
            </w:pPr>
            <w:r>
              <w:rPr>
                <w:sz w:val="21"/>
              </w:rPr>
              <w:t>有害燃烧产物：一氧化碳、二氧化碳。</w:t>
            </w:r>
          </w:p>
          <w:p>
            <w:pPr>
              <w:pStyle w:val="TableParagraph"/>
              <w:spacing w:before="2"/>
              <w:ind w:left="527"/>
              <w:jc w:val="left"/>
              <w:rPr>
                <w:sz w:val="21"/>
              </w:rPr>
            </w:pPr>
            <w:r>
              <w:rPr>
                <w:sz w:val="21"/>
              </w:rPr>
              <w:t>灭火方法：用水喷射逸出液体，使其稀释成不燃性混合物，并用雾状水保护消防人员。 灭火</w:t>
            </w:r>
          </w:p>
          <w:p>
            <w:pPr>
              <w:pStyle w:val="TableParagraph"/>
              <w:spacing w:line="252" w:lineRule="exact" w:before="5"/>
              <w:ind w:left="107"/>
              <w:jc w:val="left"/>
              <w:rPr>
                <w:sz w:val="21"/>
              </w:rPr>
            </w:pPr>
            <w:r>
              <w:rPr>
                <w:sz w:val="21"/>
              </w:rPr>
              <w:t>剂： 雾状水、抗溶性泡沫、干粉、二氧化碳</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泄漏应急处理</w:t>
            </w:r>
          </w:p>
          <w:p>
            <w:pPr>
              <w:pStyle w:val="TableParagraph"/>
              <w:spacing w:before="2"/>
              <w:ind w:left="542"/>
              <w:jc w:val="left"/>
              <w:rPr>
                <w:sz w:val="21"/>
              </w:rPr>
            </w:pPr>
            <w:r>
              <w:rPr>
                <w:sz w:val="21"/>
              </w:rPr>
              <w:t>迅速撤离泄漏污染区人员至安全区，并进行隔离，严格限制出入。切断火源。建议应</w:t>
            </w:r>
          </w:p>
          <w:p>
            <w:pPr>
              <w:pStyle w:val="TableParagraph"/>
              <w:spacing w:line="242" w:lineRule="auto" w:before="4"/>
              <w:ind w:left="107" w:right="-15" w:firstLine="434"/>
              <w:jc w:val="both"/>
              <w:rPr>
                <w:sz w:val="21"/>
              </w:rPr>
            </w:pPr>
            <w:r>
              <w:rPr>
                <w:spacing w:val="-3"/>
                <w:sz w:val="21"/>
              </w:rPr>
              <w:t>急处理人员戴自给正压式呼吸器，穿防酸碱工作服。不要直接接触泄漏物，尽可能切断泄漏源，防止进入下水道、排洪沟等限制性空间。小量泄漏：用砂土、干燥石灰或苏打灰混合。大量</w:t>
            </w:r>
            <w:r>
              <w:rPr>
                <w:spacing w:val="-8"/>
                <w:sz w:val="21"/>
              </w:rPr>
              <w:t>泄漏：建筑围堤或挖坑收容；喷雾状水冷却和稀释蒸汽、保护现场人员、把泄漏物稀释成不燃物。</w:t>
            </w:r>
          </w:p>
          <w:p>
            <w:pPr>
              <w:pStyle w:val="TableParagraph"/>
              <w:spacing w:line="252" w:lineRule="exact" w:before="1"/>
              <w:ind w:left="107"/>
              <w:jc w:val="left"/>
              <w:rPr>
                <w:sz w:val="21"/>
              </w:rPr>
            </w:pPr>
            <w:r>
              <w:rPr>
                <w:sz w:val="21"/>
              </w:rPr>
              <w:t>用防爆泵转移至槽车或专用收集容器内，回收或运至废物处理场所处置</w:t>
            </w:r>
          </w:p>
        </w:tc>
      </w:tr>
      <w:tr>
        <w:trPr>
          <w:trHeight w:val="2449"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2" w:lineRule="auto" w:before="2"/>
              <w:ind w:left="107" w:right="-15" w:firstLine="434"/>
              <w:jc w:val="left"/>
              <w:rPr>
                <w:sz w:val="21"/>
              </w:rPr>
            </w:pPr>
            <w:r>
              <w:rPr>
                <w:spacing w:val="-8"/>
                <w:sz w:val="21"/>
              </w:rPr>
              <w:t>操作注意事项： 密闭操作，加强通风。操作人员必须经过专门培训，严格遵守操作规程。建</w:t>
            </w:r>
            <w:r>
              <w:rPr>
                <w:spacing w:val="-6"/>
                <w:w w:val="100"/>
                <w:sz w:val="21"/>
              </w:rPr>
              <w:t>议操作人员佩戴自吸过滤式防毒面具</w:t>
            </w:r>
            <w:r>
              <w:rPr>
                <w:spacing w:val="-3"/>
                <w:w w:val="100"/>
                <w:sz w:val="21"/>
              </w:rPr>
              <w:t>（</w:t>
            </w:r>
            <w:r>
              <w:rPr>
                <w:spacing w:val="-2"/>
                <w:w w:val="100"/>
                <w:sz w:val="21"/>
              </w:rPr>
              <w:t>半面罩</w:t>
            </w:r>
            <w:r>
              <w:rPr>
                <w:spacing w:val="-108"/>
                <w:w w:val="100"/>
                <w:sz w:val="21"/>
              </w:rPr>
              <w:t>）</w:t>
            </w:r>
            <w:r>
              <w:rPr>
                <w:spacing w:val="-7"/>
                <w:w w:val="100"/>
                <w:sz w:val="21"/>
              </w:rPr>
              <w:t>，戴化学安全防护眼镜，穿防酸碱塑料工作服，戴</w:t>
            </w:r>
            <w:r>
              <w:rPr>
                <w:spacing w:val="-7"/>
                <w:sz w:val="21"/>
              </w:rPr>
              <w:t>橡胶耐酸碱手套。远离火种、热源，工作场所严禁吸烟。使用防爆型的通风系统和设备。防止蒸</w:t>
            </w:r>
            <w:r>
              <w:rPr>
                <w:spacing w:val="-9"/>
                <w:sz w:val="21"/>
              </w:rPr>
              <w:t>气泄漏到工作场所空气中。避免与氧化剂、碱类接触。搬运时要轻装轻卸，防止包装及容器损坏。</w:t>
            </w:r>
            <w:r>
              <w:rPr>
                <w:spacing w:val="-5"/>
                <w:sz w:val="21"/>
              </w:rPr>
              <w:t>配备相应品种和数量的消防器材及泄漏应急处理设备。倒空的容器可能残留有害物。</w:t>
            </w:r>
          </w:p>
          <w:p>
            <w:pPr>
              <w:pStyle w:val="TableParagraph"/>
              <w:spacing w:line="242" w:lineRule="auto" w:before="4"/>
              <w:ind w:left="107" w:right="90" w:firstLine="434"/>
              <w:jc w:val="left"/>
              <w:rPr>
                <w:sz w:val="21"/>
              </w:rPr>
            </w:pPr>
            <w:r>
              <w:rPr>
                <w:spacing w:val="-13"/>
                <w:sz w:val="21"/>
              </w:rPr>
              <w:t>储存注意事项： 储存于阴凉、通风的库房。远离火种、热源。冻季应保持库温高于 </w:t>
            </w:r>
            <w:r>
              <w:rPr>
                <w:rFonts w:ascii="Times New Roman" w:hAnsi="Times New Roman" w:eastAsia="Times New Roman"/>
                <w:spacing w:val="-4"/>
                <w:sz w:val="21"/>
              </w:rPr>
              <w:t>16</w:t>
            </w:r>
            <w:r>
              <w:rPr>
                <w:spacing w:val="-3"/>
                <w:sz w:val="21"/>
              </w:rPr>
              <w:t>℃，以</w:t>
            </w:r>
            <w:r>
              <w:rPr>
                <w:spacing w:val="-4"/>
                <w:sz w:val="21"/>
              </w:rPr>
              <w:t>防凝固。保持容器密封。应与氧化剂、碱类分开存放，切忌混储。采用防爆型照明、通风设施。</w:t>
            </w:r>
          </w:p>
          <w:p>
            <w:pPr>
              <w:pStyle w:val="TableParagraph"/>
              <w:spacing w:line="250" w:lineRule="exact" w:before="2"/>
              <w:ind w:left="107"/>
              <w:jc w:val="left"/>
              <w:rPr>
                <w:sz w:val="21"/>
              </w:rPr>
            </w:pPr>
            <w:r>
              <w:rPr>
                <w:sz w:val="21"/>
              </w:rPr>
              <w:t>禁止使用易产生火花的机械设备和工具。储区应备有泄漏应急处理设备和合适的收容材料</w:t>
            </w:r>
          </w:p>
        </w:tc>
      </w:tr>
      <w:tr>
        <w:trPr>
          <w:trHeight w:val="217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4"/>
              <w:ind w:left="482"/>
              <w:jc w:val="left"/>
              <w:rPr>
                <w:sz w:val="21"/>
              </w:rPr>
            </w:pPr>
            <w:r>
              <w:rPr>
                <w:sz w:val="21"/>
              </w:rPr>
              <w:t>监测方法： 气相色谱法</w:t>
            </w:r>
          </w:p>
          <w:p>
            <w:pPr>
              <w:pStyle w:val="TableParagraph"/>
              <w:spacing w:before="2"/>
              <w:ind w:left="482"/>
              <w:jc w:val="left"/>
              <w:rPr>
                <w:sz w:val="21"/>
              </w:rPr>
            </w:pPr>
            <w:r>
              <w:rPr>
                <w:sz w:val="21"/>
              </w:rPr>
              <w:t>工程控制： 生产过程密闭，加强通风。提供安全淋浴和洗眼设备。</w:t>
            </w:r>
          </w:p>
          <w:p>
            <w:pPr>
              <w:pStyle w:val="TableParagraph"/>
              <w:spacing w:line="242" w:lineRule="auto" w:before="5"/>
              <w:ind w:left="107" w:right="93" w:firstLine="374"/>
              <w:jc w:val="left"/>
              <w:rPr>
                <w:sz w:val="21"/>
              </w:rPr>
            </w:pPr>
            <w:r>
              <w:rPr>
                <w:spacing w:val="-9"/>
                <w:sz w:val="21"/>
              </w:rPr>
              <w:t>呼吸系统防护： 空气中浓度超标时，应该佩戴自吸过滤式防毒面具</w:t>
            </w:r>
            <w:r>
              <w:rPr>
                <w:sz w:val="21"/>
              </w:rPr>
              <w:t>（</w:t>
            </w:r>
            <w:r>
              <w:rPr>
                <w:spacing w:val="-3"/>
                <w:sz w:val="21"/>
              </w:rPr>
              <w:t>半面罩</w:t>
            </w:r>
            <w:r>
              <w:rPr>
                <w:spacing w:val="-108"/>
                <w:sz w:val="21"/>
              </w:rPr>
              <w:t>）</w:t>
            </w:r>
            <w:r>
              <w:rPr>
                <w:spacing w:val="-5"/>
                <w:sz w:val="21"/>
              </w:rPr>
              <w:t>。紧急事态抢救</w:t>
            </w:r>
            <w:r>
              <w:rPr>
                <w:spacing w:val="-4"/>
                <w:sz w:val="21"/>
              </w:rPr>
              <w:t>或撤离时，佩戴空气呼吸器。</w:t>
            </w:r>
          </w:p>
          <w:p>
            <w:pPr>
              <w:pStyle w:val="TableParagraph"/>
              <w:spacing w:before="1"/>
              <w:ind w:left="482"/>
              <w:jc w:val="left"/>
              <w:rPr>
                <w:sz w:val="21"/>
              </w:rPr>
            </w:pPr>
            <w:r>
              <w:rPr>
                <w:sz w:val="21"/>
              </w:rPr>
              <w:t>眼睛防护： 戴化学安全防护眼镜</w:t>
            </w:r>
          </w:p>
          <w:p>
            <w:pPr>
              <w:pStyle w:val="TableParagraph"/>
              <w:spacing w:before="2"/>
              <w:ind w:left="482"/>
              <w:jc w:val="left"/>
              <w:rPr>
                <w:sz w:val="21"/>
              </w:rPr>
            </w:pPr>
            <w:r>
              <w:rPr>
                <w:sz w:val="21"/>
              </w:rPr>
              <w:t>身体防护： 穿防酸碱塑料工作服。 手防护： 戴橡胶耐酸碱手套。</w:t>
            </w:r>
          </w:p>
          <w:p>
            <w:pPr>
              <w:pStyle w:val="TableParagraph"/>
              <w:spacing w:line="250" w:lineRule="exact" w:before="5"/>
              <w:ind w:left="482"/>
              <w:jc w:val="left"/>
              <w:rPr>
                <w:sz w:val="21"/>
              </w:rPr>
            </w:pPr>
            <w:r>
              <w:rPr>
                <w:sz w:val="21"/>
              </w:rPr>
              <w:t>其他防护： 工作现场严禁吸烟。工作完毕，淋浴更衣。注意个人清洁卫生</w:t>
            </w:r>
          </w:p>
        </w:tc>
      </w:tr>
      <w:tr>
        <w:trPr>
          <w:trHeight w:val="561" w:hRule="atLeast"/>
        </w:trPr>
        <w:tc>
          <w:tcPr>
            <w:tcW w:w="9091" w:type="dxa"/>
            <w:tcBorders>
              <w:top w:val="single" w:sz="6" w:space="0" w:color="000000"/>
            </w:tcBorders>
          </w:tcPr>
          <w:p>
            <w:pPr>
              <w:pStyle w:val="TableParagraph"/>
              <w:spacing w:before="8"/>
              <w:ind w:left="107"/>
              <w:jc w:val="left"/>
              <w:rPr>
                <w:b/>
                <w:sz w:val="21"/>
              </w:rPr>
            </w:pPr>
            <w:r>
              <w:rPr>
                <w:b/>
                <w:sz w:val="21"/>
              </w:rPr>
              <w:t>理化特性</w:t>
            </w:r>
          </w:p>
          <w:p>
            <w:pPr>
              <w:pStyle w:val="TableParagraph"/>
              <w:spacing w:line="259" w:lineRule="exact" w:before="4"/>
              <w:ind w:left="527"/>
              <w:jc w:val="left"/>
              <w:rPr>
                <w:sz w:val="21"/>
              </w:rPr>
            </w:pPr>
            <w:r>
              <w:rPr>
                <w:spacing w:val="-18"/>
                <w:sz w:val="21"/>
              </w:rPr>
              <w:t>外观与性状：无色透明液体，有刺激性酸臭。溶解性：溶于水、醚、甘油，不溶于二硫化碳。</w:t>
            </w:r>
          </w:p>
        </w:tc>
      </w:tr>
    </w:tbl>
    <w:p>
      <w:pPr>
        <w:spacing w:after="0" w:line="259" w:lineRule="exact"/>
        <w:jc w:val="left"/>
        <w:rPr>
          <w:sz w:val="21"/>
        </w:rPr>
        <w:sectPr>
          <w:footerReference w:type="default" r:id="rId37"/>
          <w:pgSz w:w="11910" w:h="16840"/>
          <w:pgMar w:footer="952" w:header="0" w:top="1580" w:bottom="1140" w:left="1240" w:right="1240"/>
          <w:pgNumType w:start="9"/>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089" w:hRule="atLeast"/>
        </w:trPr>
        <w:tc>
          <w:tcPr>
            <w:tcW w:w="9091" w:type="dxa"/>
            <w:tcBorders>
              <w:bottom w:val="single" w:sz="6" w:space="0" w:color="000000"/>
            </w:tcBorders>
          </w:tcPr>
          <w:p>
            <w:pPr>
              <w:pStyle w:val="TableParagraph"/>
              <w:tabs>
                <w:tab w:pos="2265" w:val="left" w:leader="none"/>
                <w:tab w:pos="3940" w:val="left" w:leader="none"/>
                <w:tab w:pos="6165" w:val="left" w:leader="none"/>
                <w:tab w:pos="7689" w:val="left" w:leader="none"/>
              </w:tabs>
              <w:spacing w:before="1"/>
              <w:ind w:left="527" w:right="-15"/>
              <w:jc w:val="left"/>
              <w:rPr>
                <w:sz w:val="21"/>
              </w:rPr>
            </w:pPr>
            <w:r>
              <w:rPr>
                <w:w w:val="100"/>
                <w:sz w:val="21"/>
              </w:rPr>
              <w:t>熔点</w:t>
            </w:r>
            <w:r>
              <w:rPr>
                <w:rFonts w:ascii="Times New Roman" w:hAnsi="Times New Roman" w:eastAsia="Times New Roman"/>
                <w:spacing w:val="-1"/>
                <w:w w:val="100"/>
                <w:sz w:val="21"/>
              </w:rPr>
              <w:t>(</w:t>
            </w:r>
            <w:r>
              <w:rPr>
                <w:w w:val="100"/>
                <w:sz w:val="21"/>
              </w:rPr>
              <w:t>℃</w:t>
            </w:r>
            <w:r>
              <w:rPr>
                <w:rFonts w:ascii="Times New Roman" w:hAnsi="Times New Roman" w:eastAsia="Times New Roman"/>
                <w:spacing w:val="-4"/>
                <w:w w:val="100"/>
                <w:sz w:val="21"/>
              </w:rPr>
              <w:t>)</w:t>
            </w:r>
            <w:r>
              <w:rPr>
                <w:spacing w:val="-85"/>
                <w:w w:val="100"/>
                <w:sz w:val="21"/>
              </w:rPr>
              <w:t>：</w:t>
            </w:r>
            <w:r>
              <w:rPr>
                <w:rFonts w:ascii="Times New Roman" w:hAnsi="Times New Roman" w:eastAsia="Times New Roman"/>
                <w:w w:val="100"/>
                <w:sz w:val="21"/>
              </w:rPr>
              <w:t>16.7</w:t>
            </w:r>
            <w:r>
              <w:rPr>
                <w:rFonts w:ascii="Times New Roman" w:hAnsi="Times New Roman" w:eastAsia="Times New Roman"/>
                <w:sz w:val="21"/>
              </w:rPr>
              <w:tab/>
            </w:r>
            <w:r>
              <w:rPr>
                <w:spacing w:val="-3"/>
                <w:w w:val="100"/>
                <w:sz w:val="21"/>
              </w:rPr>
              <w:t>沸</w:t>
            </w:r>
            <w:r>
              <w:rPr>
                <w:spacing w:val="-1"/>
                <w:w w:val="100"/>
                <w:sz w:val="21"/>
              </w:rPr>
              <w:t>点</w:t>
            </w:r>
            <w:r>
              <w:rPr>
                <w:rFonts w:ascii="Times New Roman" w:hAnsi="Times New Roman" w:eastAsia="Times New Roman"/>
                <w:spacing w:val="-1"/>
                <w:w w:val="100"/>
                <w:sz w:val="21"/>
              </w:rPr>
              <w:t>(</w:t>
            </w:r>
            <w:r>
              <w:rPr>
                <w:spacing w:val="-3"/>
                <w:w w:val="100"/>
                <w:sz w:val="21"/>
              </w:rPr>
              <w:t>℃</w:t>
            </w:r>
            <w:r>
              <w:rPr>
                <w:rFonts w:ascii="Times New Roman" w:hAnsi="Times New Roman" w:eastAsia="Times New Roman"/>
                <w:spacing w:val="-1"/>
                <w:w w:val="100"/>
                <w:sz w:val="21"/>
              </w:rPr>
              <w:t>)</w:t>
            </w:r>
            <w:r>
              <w:rPr>
                <w:spacing w:val="-85"/>
                <w:w w:val="100"/>
                <w:sz w:val="21"/>
              </w:rPr>
              <w:t>：</w:t>
            </w:r>
            <w:r>
              <w:rPr>
                <w:rFonts w:ascii="Times New Roman" w:hAnsi="Times New Roman" w:eastAsia="Times New Roman"/>
                <w:spacing w:val="-8"/>
                <w:w w:val="100"/>
                <w:sz w:val="21"/>
              </w:rPr>
              <w:t>1</w:t>
            </w:r>
            <w:r>
              <w:rPr>
                <w:rFonts w:ascii="Times New Roman" w:hAnsi="Times New Roman" w:eastAsia="Times New Roman"/>
                <w:w w:val="100"/>
                <w:sz w:val="21"/>
              </w:rPr>
              <w:t>18</w:t>
            </w:r>
            <w:r>
              <w:rPr>
                <w:rFonts w:ascii="Times New Roman" w:hAnsi="Times New Roman" w:eastAsia="Times New Roman"/>
                <w:spacing w:val="-3"/>
                <w:w w:val="100"/>
                <w:sz w:val="21"/>
              </w:rPr>
              <w:t>.</w:t>
            </w:r>
            <w:r>
              <w:rPr>
                <w:rFonts w:ascii="Times New Roman" w:hAnsi="Times New Roman" w:eastAsia="Times New Roman"/>
                <w:w w:val="100"/>
                <w:sz w:val="21"/>
              </w:rPr>
              <w:t>1</w:t>
            </w:r>
            <w:r>
              <w:rPr>
                <w:rFonts w:ascii="Times New Roman" w:hAnsi="Times New Roman" w:eastAsia="Times New Roman"/>
                <w:sz w:val="21"/>
              </w:rPr>
              <w:tab/>
            </w:r>
            <w:r>
              <w:rPr>
                <w:w w:val="100"/>
                <w:sz w:val="21"/>
              </w:rPr>
              <w:t>相</w:t>
            </w:r>
            <w:r>
              <w:rPr>
                <w:spacing w:val="-3"/>
                <w:w w:val="100"/>
                <w:sz w:val="21"/>
              </w:rPr>
              <w:t>对</w:t>
            </w:r>
            <w:r>
              <w:rPr>
                <w:w w:val="100"/>
                <w:sz w:val="21"/>
              </w:rPr>
              <w:t>密</w:t>
            </w:r>
            <w:r>
              <w:rPr>
                <w:spacing w:val="-1"/>
                <w:w w:val="100"/>
                <w:sz w:val="21"/>
              </w:rPr>
              <w:t>度</w:t>
            </w:r>
            <w:r>
              <w:rPr>
                <w:rFonts w:ascii="Times New Roman" w:hAnsi="Times New Roman" w:eastAsia="Times New Roman"/>
                <w:spacing w:val="-3"/>
                <w:w w:val="100"/>
                <w:sz w:val="21"/>
              </w:rPr>
              <w:t>(</w:t>
            </w:r>
            <w:r>
              <w:rPr>
                <w:w w:val="100"/>
                <w:sz w:val="21"/>
              </w:rPr>
              <w:t>水</w:t>
            </w:r>
            <w:r>
              <w:rPr>
                <w:rFonts w:ascii="Times New Roman" w:hAnsi="Times New Roman" w:eastAsia="Times New Roman"/>
                <w:spacing w:val="-2"/>
                <w:w w:val="100"/>
                <w:sz w:val="21"/>
              </w:rPr>
              <w:t>=</w:t>
            </w:r>
            <w:r>
              <w:rPr>
                <w:rFonts w:ascii="Times New Roman" w:hAnsi="Times New Roman" w:eastAsia="Times New Roman"/>
                <w:w w:val="100"/>
                <w:sz w:val="21"/>
              </w:rPr>
              <w:t>1</w:t>
            </w:r>
            <w:r>
              <w:rPr>
                <w:rFonts w:ascii="Times New Roman" w:hAnsi="Times New Roman" w:eastAsia="Times New Roman"/>
                <w:spacing w:val="-1"/>
                <w:w w:val="100"/>
                <w:sz w:val="21"/>
              </w:rPr>
              <w:t>)</w:t>
            </w:r>
            <w:r>
              <w:rPr>
                <w:spacing w:val="-85"/>
                <w:w w:val="100"/>
                <w:sz w:val="21"/>
              </w:rPr>
              <w:t>：</w:t>
            </w:r>
            <w:r>
              <w:rPr>
                <w:rFonts w:ascii="Times New Roman" w:hAnsi="Times New Roman" w:eastAsia="Times New Roman"/>
                <w:w w:val="100"/>
                <w:sz w:val="21"/>
              </w:rPr>
              <w:t>1.05</w:t>
            </w:r>
            <w:r>
              <w:rPr>
                <w:rFonts w:ascii="Times New Roman" w:hAnsi="Times New Roman" w:eastAsia="Times New Roman"/>
                <w:sz w:val="21"/>
              </w:rPr>
              <w:tab/>
            </w:r>
            <w:r>
              <w:rPr>
                <w:spacing w:val="-3"/>
                <w:w w:val="100"/>
                <w:sz w:val="21"/>
              </w:rPr>
              <w:t>闪</w:t>
            </w:r>
            <w:r>
              <w:rPr>
                <w:w w:val="100"/>
                <w:sz w:val="21"/>
              </w:rPr>
              <w:t>点</w:t>
            </w:r>
            <w:r>
              <w:rPr>
                <w:rFonts w:ascii="Times New Roman" w:hAnsi="Times New Roman" w:eastAsia="Times New Roman"/>
                <w:spacing w:val="-1"/>
                <w:w w:val="100"/>
                <w:sz w:val="21"/>
              </w:rPr>
              <w:t>(</w:t>
            </w:r>
            <w:r>
              <w:rPr>
                <w:w w:val="100"/>
                <w:sz w:val="21"/>
              </w:rPr>
              <w:t>℃</w:t>
            </w:r>
            <w:r>
              <w:rPr>
                <w:rFonts w:ascii="Times New Roman" w:hAnsi="Times New Roman" w:eastAsia="Times New Roman"/>
                <w:spacing w:val="-4"/>
                <w:w w:val="100"/>
                <w:sz w:val="21"/>
              </w:rPr>
              <w:t>)</w:t>
            </w:r>
            <w:r>
              <w:rPr>
                <w:spacing w:val="-84"/>
                <w:w w:val="100"/>
                <w:sz w:val="21"/>
              </w:rPr>
              <w:t>：</w:t>
            </w:r>
            <w:r>
              <w:rPr>
                <w:rFonts w:ascii="Times New Roman" w:hAnsi="Times New Roman" w:eastAsia="Times New Roman"/>
                <w:w w:val="100"/>
                <w:sz w:val="21"/>
              </w:rPr>
              <w:t>39</w:t>
            </w:r>
            <w:r>
              <w:rPr>
                <w:rFonts w:ascii="Times New Roman" w:hAnsi="Times New Roman" w:eastAsia="Times New Roman"/>
                <w:sz w:val="21"/>
              </w:rPr>
              <w:tab/>
            </w:r>
            <w:r>
              <w:rPr>
                <w:w w:val="100"/>
                <w:sz w:val="21"/>
              </w:rPr>
              <w:t>引燃</w:t>
            </w:r>
            <w:r>
              <w:rPr>
                <w:spacing w:val="-3"/>
                <w:w w:val="100"/>
                <w:sz w:val="21"/>
              </w:rPr>
              <w:t>温</w:t>
            </w:r>
            <w:r>
              <w:rPr>
                <w:w w:val="100"/>
                <w:sz w:val="21"/>
              </w:rPr>
              <w:t>度</w:t>
            </w:r>
            <w:r>
              <w:rPr>
                <w:rFonts w:ascii="Times New Roman" w:hAnsi="Times New Roman" w:eastAsia="Times New Roman"/>
                <w:spacing w:val="-5"/>
                <w:w w:val="100"/>
                <w:sz w:val="21"/>
              </w:rPr>
              <w:t>(</w:t>
            </w:r>
            <w:r>
              <w:rPr>
                <w:spacing w:val="-4"/>
                <w:w w:val="100"/>
                <w:sz w:val="21"/>
              </w:rPr>
              <w:t>℃</w:t>
            </w:r>
            <w:r>
              <w:rPr>
                <w:rFonts w:ascii="Times New Roman" w:hAnsi="Times New Roman" w:eastAsia="Times New Roman"/>
                <w:spacing w:val="-5"/>
                <w:w w:val="100"/>
                <w:sz w:val="21"/>
              </w:rPr>
              <w:t>)</w:t>
            </w:r>
            <w:r>
              <w:rPr>
                <w:spacing w:val="-4"/>
                <w:w w:val="100"/>
                <w:sz w:val="21"/>
              </w:rPr>
              <w:t>：</w:t>
            </w:r>
          </w:p>
          <w:p>
            <w:pPr>
              <w:pStyle w:val="TableParagraph"/>
              <w:tabs>
                <w:tab w:pos="1370" w:val="left" w:leader="none"/>
                <w:tab w:pos="4096" w:val="left" w:leader="none"/>
              </w:tabs>
              <w:spacing w:line="244" w:lineRule="auto" w:before="2"/>
              <w:ind w:left="107" w:right="93"/>
              <w:jc w:val="left"/>
              <w:rPr>
                <w:sz w:val="21"/>
              </w:rPr>
            </w:pPr>
            <w:r>
              <w:rPr>
                <w:rFonts w:ascii="Times New Roman" w:eastAsia="Times New Roman"/>
                <w:sz w:val="21"/>
              </w:rPr>
              <w:t>463</w:t>
              <w:tab/>
            </w:r>
            <w:r>
              <w:rPr>
                <w:sz w:val="21"/>
              </w:rPr>
              <w:t>爆</w:t>
            </w:r>
            <w:r>
              <w:rPr>
                <w:spacing w:val="-3"/>
                <w:sz w:val="21"/>
              </w:rPr>
              <w:t>炸</w:t>
            </w:r>
            <w:r>
              <w:rPr>
                <w:sz w:val="21"/>
              </w:rPr>
              <w:t>上限</w:t>
            </w:r>
            <w:r>
              <w:rPr>
                <w:rFonts w:ascii="Times New Roman" w:eastAsia="Times New Roman"/>
                <w:sz w:val="21"/>
              </w:rPr>
              <w:t>%(V/V)</w:t>
            </w:r>
            <w:r>
              <w:rPr>
                <w:sz w:val="21"/>
              </w:rPr>
              <w:t>：</w:t>
            </w:r>
            <w:r>
              <w:rPr>
                <w:rFonts w:ascii="Times New Roman" w:eastAsia="Times New Roman"/>
                <w:sz w:val="21"/>
              </w:rPr>
              <w:t>17.0</w:t>
              <w:tab/>
            </w:r>
            <w:r>
              <w:rPr>
                <w:sz w:val="21"/>
              </w:rPr>
              <w:t>爆炸</w:t>
            </w:r>
            <w:r>
              <w:rPr>
                <w:spacing w:val="-3"/>
                <w:sz w:val="21"/>
              </w:rPr>
              <w:t>下</w:t>
            </w:r>
            <w:r>
              <w:rPr>
                <w:sz w:val="21"/>
              </w:rPr>
              <w:t>限</w:t>
            </w:r>
            <w:r>
              <w:rPr>
                <w:rFonts w:ascii="Times New Roman" w:eastAsia="Times New Roman"/>
                <w:sz w:val="21"/>
              </w:rPr>
              <w:t>%(V/V)</w:t>
            </w:r>
            <w:r>
              <w:rPr>
                <w:sz w:val="21"/>
              </w:rPr>
              <w:t>：</w:t>
            </w:r>
            <w:r>
              <w:rPr>
                <w:rFonts w:ascii="Times New Roman" w:eastAsia="Times New Roman"/>
                <w:sz w:val="21"/>
              </w:rPr>
              <w:t>4.0</w:t>
            </w:r>
            <w:r>
              <w:rPr>
                <w:rFonts w:ascii="Times New Roman" w:eastAsia="Times New Roman"/>
                <w:spacing w:val="11"/>
                <w:sz w:val="21"/>
              </w:rPr>
              <w:t> </w:t>
            </w:r>
            <w:r>
              <w:rPr>
                <w:spacing w:val="-3"/>
                <w:sz w:val="21"/>
              </w:rPr>
              <w:t>溶</w:t>
            </w:r>
            <w:r>
              <w:rPr>
                <w:sz w:val="21"/>
              </w:rPr>
              <w:t>解性：</w:t>
            </w:r>
            <w:r>
              <w:rPr>
                <w:spacing w:val="-49"/>
                <w:sz w:val="21"/>
              </w:rPr>
              <w:t> </w:t>
            </w:r>
            <w:r>
              <w:rPr>
                <w:sz w:val="21"/>
              </w:rPr>
              <w:t>溶于水、</w:t>
            </w:r>
            <w:r>
              <w:rPr>
                <w:spacing w:val="-3"/>
                <w:sz w:val="21"/>
              </w:rPr>
              <w:t>醚</w:t>
            </w:r>
            <w:r>
              <w:rPr>
                <w:sz w:val="21"/>
              </w:rPr>
              <w:t>、甘</w:t>
            </w:r>
            <w:r>
              <w:rPr>
                <w:spacing w:val="-3"/>
                <w:sz w:val="21"/>
              </w:rPr>
              <w:t>油</w:t>
            </w:r>
            <w:r>
              <w:rPr>
                <w:sz w:val="21"/>
              </w:rPr>
              <w:t>， 不溶</w:t>
            </w:r>
            <w:r>
              <w:rPr>
                <w:spacing w:val="-3"/>
                <w:sz w:val="21"/>
              </w:rPr>
              <w:t>于</w:t>
            </w:r>
            <w:r>
              <w:rPr>
                <w:sz w:val="21"/>
              </w:rPr>
              <w:t>二</w:t>
            </w:r>
            <w:r>
              <w:rPr>
                <w:spacing w:val="-3"/>
                <w:sz w:val="21"/>
              </w:rPr>
              <w:t>硫</w:t>
            </w:r>
            <w:r>
              <w:rPr>
                <w:sz w:val="21"/>
              </w:rPr>
              <w:t>化</w:t>
            </w:r>
            <w:r>
              <w:rPr>
                <w:spacing w:val="-3"/>
                <w:sz w:val="21"/>
              </w:rPr>
              <w:t>碳</w:t>
            </w:r>
            <w:r>
              <w:rPr>
                <w:sz w:val="21"/>
              </w:rPr>
              <w:t>。</w:t>
            </w:r>
          </w:p>
          <w:p>
            <w:pPr>
              <w:pStyle w:val="TableParagraph"/>
              <w:spacing w:line="248" w:lineRule="exact"/>
              <w:ind w:left="527"/>
              <w:jc w:val="left"/>
              <w:rPr>
                <w:sz w:val="21"/>
              </w:rPr>
            </w:pPr>
            <w:r>
              <w:rPr>
                <w:sz w:val="21"/>
              </w:rPr>
              <w:t>主要用途： 用于制造醋酸盐、醋酸纤维素、医药、颜料、酯类、塑料、香料等</w:t>
            </w:r>
          </w:p>
        </w:tc>
      </w:tr>
      <w:tr>
        <w:trPr>
          <w:trHeight w:val="817"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毒理学资料</w:t>
            </w:r>
          </w:p>
          <w:p>
            <w:pPr>
              <w:pStyle w:val="TableParagraph"/>
              <w:spacing w:before="2"/>
              <w:ind w:left="527"/>
              <w:jc w:val="left"/>
              <w:rPr>
                <w:sz w:val="21"/>
              </w:rPr>
            </w:pPr>
            <w:r>
              <w:rPr>
                <w:spacing w:val="-3"/>
                <w:sz w:val="21"/>
              </w:rPr>
              <w:t>急性毒性：</w:t>
            </w:r>
            <w:r>
              <w:rPr>
                <w:rFonts w:ascii="Times New Roman" w:eastAsia="Times New Roman"/>
                <w:spacing w:val="-6"/>
                <w:sz w:val="21"/>
              </w:rPr>
              <w:t>LD50</w:t>
            </w:r>
            <w:r>
              <w:rPr>
                <w:spacing w:val="-6"/>
                <w:sz w:val="21"/>
              </w:rPr>
              <w:t>：</w:t>
            </w:r>
            <w:r>
              <w:rPr>
                <w:rFonts w:ascii="Times New Roman" w:eastAsia="Times New Roman"/>
                <w:spacing w:val="-6"/>
                <w:sz w:val="21"/>
              </w:rPr>
              <w:t>3530 </w:t>
            </w:r>
            <w:r>
              <w:rPr>
                <w:rFonts w:ascii="Times New Roman" w:eastAsia="Times New Roman"/>
                <w:sz w:val="21"/>
              </w:rPr>
              <w:t>mg/kg(</w:t>
            </w:r>
            <w:r>
              <w:rPr>
                <w:spacing w:val="-2"/>
                <w:sz w:val="21"/>
              </w:rPr>
              <w:t>大鼠经口</w:t>
            </w:r>
            <w:r>
              <w:rPr>
                <w:rFonts w:ascii="Times New Roman" w:eastAsia="Times New Roman"/>
                <w:spacing w:val="-10"/>
                <w:sz w:val="21"/>
              </w:rPr>
              <w:t>)</w:t>
            </w:r>
            <w:r>
              <w:rPr>
                <w:spacing w:val="-10"/>
                <w:sz w:val="21"/>
              </w:rPr>
              <w:t>；</w:t>
            </w:r>
            <w:r>
              <w:rPr>
                <w:rFonts w:ascii="Times New Roman" w:eastAsia="Times New Roman"/>
                <w:spacing w:val="-10"/>
                <w:sz w:val="21"/>
              </w:rPr>
              <w:t>1060 </w:t>
            </w:r>
            <w:r>
              <w:rPr>
                <w:rFonts w:ascii="Times New Roman" w:eastAsia="Times New Roman"/>
                <w:sz w:val="21"/>
              </w:rPr>
              <w:t>mg/kg(</w:t>
            </w:r>
            <w:r>
              <w:rPr>
                <w:sz w:val="21"/>
              </w:rPr>
              <w:t>兔经皮</w:t>
            </w:r>
            <w:r>
              <w:rPr>
                <w:rFonts w:ascii="Times New Roman" w:eastAsia="Times New Roman"/>
                <w:spacing w:val="4"/>
                <w:sz w:val="21"/>
              </w:rPr>
              <w:t>) </w:t>
            </w:r>
            <w:r>
              <w:rPr>
                <w:rFonts w:ascii="Times New Roman" w:eastAsia="Times New Roman"/>
                <w:spacing w:val="-8"/>
                <w:sz w:val="21"/>
              </w:rPr>
              <w:t>LC50</w:t>
            </w:r>
            <w:r>
              <w:rPr>
                <w:spacing w:val="-8"/>
                <w:sz w:val="21"/>
              </w:rPr>
              <w:t>：</w:t>
            </w:r>
            <w:r>
              <w:rPr>
                <w:rFonts w:ascii="Times New Roman" w:eastAsia="Times New Roman"/>
                <w:spacing w:val="-8"/>
                <w:sz w:val="21"/>
              </w:rPr>
              <w:t>13791mg/m3</w:t>
            </w:r>
            <w:r>
              <w:rPr>
                <w:spacing w:val="-8"/>
                <w:sz w:val="21"/>
              </w:rPr>
              <w:t>，</w:t>
            </w:r>
            <w:r>
              <w:rPr>
                <w:rFonts w:ascii="Times New Roman" w:eastAsia="Times New Roman"/>
                <w:spacing w:val="-8"/>
                <w:sz w:val="21"/>
              </w:rPr>
              <w:t>1 </w:t>
            </w:r>
            <w:r>
              <w:rPr>
                <w:sz w:val="21"/>
              </w:rPr>
              <w:t>小时</w:t>
            </w:r>
            <w:r>
              <w:rPr>
                <w:rFonts w:ascii="Times New Roman" w:eastAsia="Times New Roman"/>
                <w:spacing w:val="-4"/>
                <w:sz w:val="21"/>
              </w:rPr>
              <w:t>(</w:t>
            </w:r>
            <w:r>
              <w:rPr>
                <w:sz w:val="21"/>
              </w:rPr>
              <w:t>小</w:t>
            </w:r>
          </w:p>
          <w:p>
            <w:pPr>
              <w:pStyle w:val="TableParagraph"/>
              <w:spacing w:line="252" w:lineRule="exact" w:before="4"/>
              <w:ind w:left="107"/>
              <w:jc w:val="left"/>
              <w:rPr>
                <w:rFonts w:ascii="Times New Roman" w:eastAsia="Times New Roman"/>
                <w:sz w:val="21"/>
              </w:rPr>
            </w:pPr>
            <w:r>
              <w:rPr>
                <w:sz w:val="21"/>
              </w:rPr>
              <w:t>鼠吸入</w:t>
            </w:r>
            <w:r>
              <w:rPr>
                <w:rFonts w:ascii="Times New Roman" w:eastAsia="Times New Roman"/>
                <w:sz w:val="21"/>
              </w:rPr>
              <w:t>)</w:t>
            </w:r>
          </w:p>
        </w:tc>
      </w:tr>
      <w:tr>
        <w:trPr>
          <w:trHeight w:val="2723" w:hRule="atLeast"/>
        </w:trPr>
        <w:tc>
          <w:tcPr>
            <w:tcW w:w="9091" w:type="dxa"/>
            <w:tcBorders>
              <w:top w:val="single" w:sz="6" w:space="0" w:color="000000"/>
            </w:tcBorders>
          </w:tcPr>
          <w:p>
            <w:pPr>
              <w:pStyle w:val="TableParagraph"/>
              <w:spacing w:before="1"/>
              <w:ind w:left="107"/>
              <w:jc w:val="left"/>
              <w:rPr>
                <w:b/>
                <w:sz w:val="21"/>
              </w:rPr>
            </w:pPr>
            <w:r>
              <w:rPr>
                <w:b/>
                <w:sz w:val="21"/>
              </w:rPr>
              <w:t>运输信息</w:t>
            </w:r>
          </w:p>
          <w:p>
            <w:pPr>
              <w:pStyle w:val="TableParagraph"/>
              <w:spacing w:before="2"/>
              <w:ind w:left="527"/>
              <w:jc w:val="left"/>
              <w:rPr>
                <w:rFonts w:ascii="Times New Roman" w:eastAsia="Times New Roman"/>
                <w:sz w:val="21"/>
              </w:rPr>
            </w:pPr>
            <w:r>
              <w:rPr>
                <w:sz w:val="21"/>
              </w:rPr>
              <w:t>包装类别： </w:t>
            </w:r>
            <w:r>
              <w:rPr>
                <w:rFonts w:ascii="Times New Roman" w:eastAsia="Times New Roman"/>
                <w:sz w:val="21"/>
              </w:rPr>
              <w:t>O52</w:t>
            </w:r>
          </w:p>
          <w:p>
            <w:pPr>
              <w:pStyle w:val="TableParagraph"/>
              <w:spacing w:line="242" w:lineRule="auto" w:before="2"/>
              <w:ind w:left="107" w:right="-15" w:firstLine="419"/>
              <w:jc w:val="left"/>
              <w:rPr>
                <w:sz w:val="21"/>
              </w:rPr>
            </w:pPr>
            <w:r>
              <w:rPr>
                <w:spacing w:val="-7"/>
                <w:sz w:val="21"/>
              </w:rPr>
              <w:t>包装方法： 小开口铝桶；玻璃瓶或塑料桶</w:t>
            </w:r>
            <w:r>
              <w:rPr>
                <w:sz w:val="21"/>
              </w:rPr>
              <w:t>（</w:t>
            </w:r>
            <w:r>
              <w:rPr>
                <w:spacing w:val="-3"/>
                <w:sz w:val="21"/>
              </w:rPr>
              <w:t>罐</w:t>
            </w:r>
            <w:r>
              <w:rPr>
                <w:sz w:val="21"/>
              </w:rPr>
              <w:t>）</w:t>
            </w:r>
            <w:r>
              <w:rPr>
                <w:spacing w:val="-3"/>
                <w:sz w:val="21"/>
              </w:rPr>
              <w:t>外普通木箱或半花格木箱；磨砂口玻璃瓶或</w:t>
            </w:r>
            <w:r>
              <w:rPr>
                <w:spacing w:val="-7"/>
                <w:sz w:val="21"/>
              </w:rPr>
              <w:t>螺纹口玻璃瓶外普通木箱；螺纹口玻璃瓶、铁盖压口玻璃瓶、塑料瓶或金属桶</w:t>
            </w:r>
            <w:r>
              <w:rPr>
                <w:spacing w:val="-3"/>
                <w:sz w:val="21"/>
              </w:rPr>
              <w:t>（</w:t>
            </w:r>
            <w:r>
              <w:rPr>
                <w:sz w:val="21"/>
              </w:rPr>
              <w:t>罐</w:t>
            </w:r>
            <w:r>
              <w:rPr>
                <w:spacing w:val="-13"/>
                <w:sz w:val="21"/>
              </w:rPr>
              <w:t>）</w:t>
            </w:r>
            <w:r>
              <w:rPr>
                <w:spacing w:val="-3"/>
                <w:sz w:val="21"/>
              </w:rPr>
              <w:t>外普通木箱； 螺纹口玻璃瓶、塑料瓶或镀锡薄钢板桶（</w:t>
            </w:r>
            <w:r>
              <w:rPr>
                <w:sz w:val="21"/>
              </w:rPr>
              <w:t>罐</w:t>
            </w:r>
            <w:r>
              <w:rPr>
                <w:spacing w:val="-3"/>
                <w:sz w:val="21"/>
              </w:rPr>
              <w:t>）外满底板花格箱、纤维板箱或胶合板箱。</w:t>
            </w:r>
          </w:p>
          <w:p>
            <w:pPr>
              <w:pStyle w:val="TableParagraph"/>
              <w:spacing w:line="242" w:lineRule="auto" w:before="3"/>
              <w:ind w:left="107" w:right="90" w:firstLine="419"/>
              <w:jc w:val="both"/>
              <w:rPr>
                <w:sz w:val="21"/>
              </w:rPr>
            </w:pPr>
            <w:r>
              <w:rPr>
                <w:spacing w:val="-5"/>
                <w:sz w:val="21"/>
              </w:rPr>
              <w:t>运输注意事项： 本品铁路运输时限使用铝制企业自备罐车装运，装运前需报有关部门批准。</w:t>
            </w:r>
            <w:r>
              <w:rPr>
                <w:spacing w:val="-6"/>
                <w:sz w:val="21"/>
              </w:rPr>
              <w:t>铁路非罐装运输时应严格按照铁道部《危险货物运输规则》中的危险货物配装表进行配装。起运</w:t>
            </w:r>
            <w:r>
              <w:rPr>
                <w:spacing w:val="-1"/>
                <w:sz w:val="21"/>
              </w:rPr>
              <w:t>时包装要完整，装载应稳妥。运输过程中要确保容器不泄漏、不倒塌、不坠落、不损坏。运输时</w:t>
            </w:r>
            <w:r>
              <w:rPr>
                <w:sz w:val="21"/>
              </w:rPr>
              <w:t>所用的槽（罐）</w:t>
            </w:r>
            <w:r>
              <w:rPr>
                <w:spacing w:val="-1"/>
                <w:sz w:val="21"/>
              </w:rPr>
              <w:t>车应有接地链，槽内可设孔隔板以减少震荡产生静电。严禁与氧化剂、碱类、食</w:t>
            </w:r>
          </w:p>
          <w:p>
            <w:pPr>
              <w:pStyle w:val="TableParagraph"/>
              <w:spacing w:line="252" w:lineRule="exact" w:before="3"/>
              <w:ind w:left="107"/>
              <w:jc w:val="left"/>
              <w:rPr>
                <w:sz w:val="21"/>
              </w:rPr>
            </w:pPr>
            <w:r>
              <w:rPr>
                <w:sz w:val="21"/>
              </w:rPr>
              <w:t>用化学品等混装混运。公路运输时要按规定路线行驶，勿在居民区和人口稠密区停留</w:t>
            </w:r>
          </w:p>
        </w:tc>
      </w:tr>
    </w:tbl>
    <w:p>
      <w:pPr>
        <w:pStyle w:val="BodyText"/>
        <w:spacing w:before="4"/>
        <w:rPr>
          <w:b/>
          <w:sz w:val="23"/>
        </w:rPr>
      </w:pPr>
    </w:p>
    <w:p>
      <w:pPr>
        <w:tabs>
          <w:tab w:pos="1339" w:val="left" w:leader="none"/>
        </w:tabs>
        <w:spacing w:before="62"/>
        <w:ind w:left="0" w:right="1" w:firstLine="0"/>
        <w:jc w:val="center"/>
        <w:rPr>
          <w:b/>
          <w:sz w:val="28"/>
        </w:rPr>
      </w:pPr>
      <w:r>
        <w:rPr>
          <w:b/>
          <w:sz w:val="28"/>
        </w:rPr>
        <w:t>表</w:t>
      </w:r>
      <w:r>
        <w:rPr>
          <w:b/>
          <w:spacing w:val="-71"/>
          <w:sz w:val="28"/>
        </w:rPr>
        <w:t> </w:t>
      </w:r>
      <w:r>
        <w:rPr>
          <w:b/>
          <w:sz w:val="28"/>
        </w:rPr>
        <w:t>3-1-3</w:t>
        <w:tab/>
        <w:t>氨的理化性质及危险特性表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297"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tabs>
                <w:tab w:pos="2673" w:val="left" w:leader="none"/>
                <w:tab w:pos="5769" w:val="left" w:leader="none"/>
                <w:tab w:pos="8248" w:val="left" w:leader="none"/>
              </w:tabs>
              <w:spacing w:line="268" w:lineRule="exact" w:before="2"/>
              <w:ind w:left="527" w:right="-15"/>
              <w:jc w:val="left"/>
              <w:rPr>
                <w:sz w:val="21"/>
              </w:rPr>
            </w:pPr>
            <w:r>
              <w:rPr>
                <w:sz w:val="21"/>
              </w:rPr>
              <w:t>中文</w:t>
            </w:r>
            <w:r>
              <w:rPr>
                <w:spacing w:val="-3"/>
                <w:sz w:val="21"/>
              </w:rPr>
              <w:t>名</w:t>
            </w:r>
            <w:r>
              <w:rPr>
                <w:sz w:val="21"/>
              </w:rPr>
              <w:t>称</w:t>
            </w:r>
            <w:r>
              <w:rPr>
                <w:spacing w:val="-68"/>
                <w:sz w:val="21"/>
              </w:rPr>
              <w:t>：</w:t>
            </w:r>
            <w:r>
              <w:rPr>
                <w:sz w:val="21"/>
              </w:rPr>
              <w:t>液氨</w:t>
              <w:tab/>
            </w:r>
            <w:r>
              <w:rPr>
                <w:spacing w:val="-3"/>
                <w:sz w:val="21"/>
              </w:rPr>
              <w:t>英</w:t>
            </w:r>
            <w:r>
              <w:rPr>
                <w:sz w:val="21"/>
              </w:rPr>
              <w:t>文名</w:t>
            </w:r>
            <w:r>
              <w:rPr>
                <w:spacing w:val="-3"/>
                <w:sz w:val="21"/>
              </w:rPr>
              <w:t>称</w:t>
            </w:r>
            <w:r>
              <w:rPr>
                <w:spacing w:val="-10"/>
                <w:sz w:val="21"/>
              </w:rPr>
              <w:t>：</w:t>
            </w:r>
            <w:r>
              <w:rPr>
                <w:rFonts w:ascii="Times New Roman" w:eastAsia="Times New Roman"/>
                <w:spacing w:val="-10"/>
                <w:sz w:val="21"/>
              </w:rPr>
              <w:t>ammonia</w:t>
            </w:r>
            <w:r>
              <w:rPr>
                <w:rFonts w:ascii="Times New Roman" w:eastAsia="Times New Roman"/>
                <w:spacing w:val="4"/>
                <w:sz w:val="21"/>
              </w:rPr>
              <w:t> </w:t>
            </w:r>
            <w:r>
              <w:rPr>
                <w:rFonts w:ascii="Times New Roman" w:eastAsia="Times New Roman"/>
                <w:sz w:val="21"/>
              </w:rPr>
              <w:t>gas</w:t>
              <w:tab/>
              <w:t>CAS</w:t>
            </w:r>
            <w:r>
              <w:rPr>
                <w:rFonts w:ascii="Times New Roman" w:eastAsia="Times New Roman"/>
                <w:spacing w:val="1"/>
                <w:sz w:val="21"/>
              </w:rPr>
              <w:t> </w:t>
            </w:r>
            <w:r>
              <w:rPr>
                <w:sz w:val="21"/>
              </w:rPr>
              <w:t>号</w:t>
            </w:r>
            <w:r>
              <w:rPr>
                <w:spacing w:val="-8"/>
                <w:sz w:val="21"/>
              </w:rPr>
              <w:t>：</w:t>
            </w:r>
            <w:r>
              <w:rPr>
                <w:rFonts w:ascii="Times New Roman" w:eastAsia="Times New Roman"/>
                <w:spacing w:val="-8"/>
                <w:sz w:val="21"/>
              </w:rPr>
              <w:t>7664-41-7</w:t>
              <w:tab/>
            </w:r>
            <w:r>
              <w:rPr>
                <w:sz w:val="21"/>
              </w:rPr>
              <w:t>危</w:t>
            </w:r>
            <w:r>
              <w:rPr>
                <w:spacing w:val="-3"/>
                <w:sz w:val="21"/>
              </w:rPr>
              <w:t>规</w:t>
            </w:r>
            <w:r>
              <w:rPr>
                <w:sz w:val="21"/>
              </w:rPr>
              <w:t>号</w:t>
            </w:r>
            <w:r>
              <w:rPr>
                <w:spacing w:val="-14"/>
                <w:sz w:val="21"/>
              </w:rPr>
              <w:t>：</w:t>
            </w:r>
          </w:p>
          <w:p>
            <w:pPr>
              <w:pStyle w:val="TableParagraph"/>
              <w:spacing w:line="240" w:lineRule="exact"/>
              <w:ind w:left="107"/>
              <w:jc w:val="left"/>
              <w:rPr>
                <w:rFonts w:ascii="Times New Roman"/>
                <w:sz w:val="21"/>
              </w:rPr>
            </w:pPr>
            <w:r>
              <w:rPr>
                <w:rFonts w:ascii="Times New Roman"/>
                <w:sz w:val="21"/>
              </w:rPr>
              <w:t>23003</w:t>
            </w:r>
          </w:p>
          <w:p>
            <w:pPr>
              <w:pStyle w:val="TableParagraph"/>
              <w:tabs>
                <w:tab w:pos="2445" w:val="left" w:leader="none"/>
                <w:tab w:pos="4386" w:val="left" w:leader="none"/>
                <w:tab w:pos="8006" w:val="left" w:leader="none"/>
              </w:tabs>
              <w:spacing w:line="267" w:lineRule="exact" w:before="6"/>
              <w:ind w:left="580"/>
              <w:jc w:val="left"/>
              <w:rPr>
                <w:sz w:val="21"/>
              </w:rPr>
            </w:pPr>
            <w:r>
              <w:rPr>
                <w:sz w:val="21"/>
              </w:rPr>
              <w:t>分</w:t>
            </w:r>
            <w:r>
              <w:rPr>
                <w:spacing w:val="-3"/>
                <w:sz w:val="21"/>
              </w:rPr>
              <w:t>子</w:t>
            </w:r>
            <w:r>
              <w:rPr>
                <w:sz w:val="21"/>
              </w:rPr>
              <w:t>式：</w:t>
            </w:r>
            <w:r>
              <w:rPr>
                <w:rFonts w:ascii="Times New Roman" w:eastAsia="Times New Roman"/>
                <w:sz w:val="21"/>
              </w:rPr>
              <w:t>NH</w:t>
            </w:r>
            <w:r>
              <w:rPr>
                <w:rFonts w:ascii="Times New Roman" w:eastAsia="Times New Roman"/>
                <w:sz w:val="21"/>
                <w:vertAlign w:val="subscript"/>
              </w:rPr>
              <w:t>3</w:t>
            </w:r>
            <w:r>
              <w:rPr>
                <w:rFonts w:ascii="Times New Roman" w:eastAsia="Times New Roman"/>
                <w:sz w:val="21"/>
                <w:vertAlign w:val="baseline"/>
              </w:rPr>
              <w:tab/>
            </w:r>
            <w:r>
              <w:rPr>
                <w:spacing w:val="-3"/>
                <w:sz w:val="21"/>
                <w:vertAlign w:val="baseline"/>
              </w:rPr>
              <w:t>分子</w:t>
            </w:r>
            <w:r>
              <w:rPr>
                <w:sz w:val="21"/>
                <w:vertAlign w:val="baseline"/>
              </w:rPr>
              <w:t>量：</w:t>
            </w:r>
            <w:r>
              <w:rPr>
                <w:rFonts w:ascii="Times New Roman" w:eastAsia="Times New Roman"/>
                <w:sz w:val="21"/>
                <w:vertAlign w:val="baseline"/>
              </w:rPr>
              <w:t>17.04</w:t>
              <w:tab/>
            </w:r>
            <w:r>
              <w:rPr>
                <w:spacing w:val="-3"/>
                <w:sz w:val="21"/>
                <w:vertAlign w:val="baseline"/>
              </w:rPr>
              <w:t>危</w:t>
            </w:r>
            <w:r>
              <w:rPr>
                <w:sz w:val="21"/>
                <w:vertAlign w:val="baseline"/>
              </w:rPr>
              <w:t>险</w:t>
            </w:r>
            <w:r>
              <w:rPr>
                <w:spacing w:val="-3"/>
                <w:sz w:val="21"/>
                <w:vertAlign w:val="baseline"/>
              </w:rPr>
              <w:t>性类</w:t>
            </w:r>
            <w:r>
              <w:rPr>
                <w:sz w:val="21"/>
                <w:vertAlign w:val="baseline"/>
              </w:rPr>
              <w:t>别</w:t>
            </w:r>
            <w:r>
              <w:rPr>
                <w:spacing w:val="-3"/>
                <w:sz w:val="21"/>
                <w:vertAlign w:val="baseline"/>
              </w:rPr>
              <w:t>：</w:t>
            </w:r>
            <w:r>
              <w:rPr>
                <w:sz w:val="21"/>
                <w:vertAlign w:val="baseline"/>
              </w:rPr>
              <w:t>第</w:t>
            </w:r>
            <w:r>
              <w:rPr>
                <w:spacing w:val="-51"/>
                <w:sz w:val="21"/>
                <w:vertAlign w:val="baseline"/>
              </w:rPr>
              <w:t> </w:t>
            </w:r>
            <w:r>
              <w:rPr>
                <w:rFonts w:ascii="Times New Roman" w:eastAsia="Times New Roman"/>
                <w:sz w:val="21"/>
                <w:vertAlign w:val="baseline"/>
              </w:rPr>
              <w:t>2.3</w:t>
            </w:r>
            <w:r>
              <w:rPr>
                <w:rFonts w:ascii="Times New Roman" w:eastAsia="Times New Roman"/>
                <w:spacing w:val="-1"/>
                <w:sz w:val="21"/>
                <w:vertAlign w:val="baseline"/>
              </w:rPr>
              <w:t> </w:t>
            </w:r>
            <w:r>
              <w:rPr>
                <w:sz w:val="21"/>
                <w:vertAlign w:val="baseline"/>
              </w:rPr>
              <w:t>类</w:t>
            </w:r>
            <w:r>
              <w:rPr>
                <w:spacing w:val="3"/>
                <w:sz w:val="21"/>
                <w:vertAlign w:val="baseline"/>
              </w:rPr>
              <w:t> </w:t>
            </w:r>
            <w:r>
              <w:rPr>
                <w:sz w:val="21"/>
                <w:vertAlign w:val="baseline"/>
              </w:rPr>
              <w:t>有</w:t>
            </w:r>
            <w:r>
              <w:rPr>
                <w:spacing w:val="-3"/>
                <w:sz w:val="21"/>
                <w:vertAlign w:val="baseline"/>
              </w:rPr>
              <w:t>毒</w:t>
            </w:r>
            <w:r>
              <w:rPr>
                <w:sz w:val="21"/>
                <w:vertAlign w:val="baseline"/>
              </w:rPr>
              <w:t>气体</w:t>
              <w:tab/>
            </w:r>
            <w:r>
              <w:rPr>
                <w:rFonts w:ascii="Times New Roman" w:eastAsia="Times New Roman"/>
                <w:sz w:val="21"/>
                <w:vertAlign w:val="baseline"/>
              </w:rPr>
              <w:t>UN</w:t>
            </w:r>
            <w:r>
              <w:rPr>
                <w:rFonts w:ascii="Times New Roman" w:eastAsia="Times New Roman"/>
                <w:spacing w:val="2"/>
                <w:sz w:val="21"/>
                <w:vertAlign w:val="baseline"/>
              </w:rPr>
              <w:t> </w:t>
            </w:r>
            <w:r>
              <w:rPr>
                <w:spacing w:val="-3"/>
                <w:sz w:val="21"/>
                <w:vertAlign w:val="baseline"/>
              </w:rPr>
              <w:t>编</w:t>
            </w:r>
            <w:r>
              <w:rPr>
                <w:sz w:val="21"/>
                <w:vertAlign w:val="baseline"/>
              </w:rPr>
              <w:t>号：</w:t>
            </w:r>
          </w:p>
          <w:p>
            <w:pPr>
              <w:pStyle w:val="TableParagraph"/>
              <w:spacing w:line="225" w:lineRule="exact"/>
              <w:ind w:left="107"/>
              <w:jc w:val="left"/>
              <w:rPr>
                <w:rFonts w:ascii="Times New Roman"/>
                <w:sz w:val="21"/>
              </w:rPr>
            </w:pPr>
            <w:r>
              <w:rPr>
                <w:rFonts w:ascii="Times New Roman"/>
                <w:sz w:val="21"/>
              </w:rPr>
              <w:t>1005</w:t>
            </w:r>
          </w:p>
        </w:tc>
      </w:tr>
      <w:tr>
        <w:trPr>
          <w:trHeight w:val="2452"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before="4"/>
              <w:ind w:left="527"/>
              <w:jc w:val="left"/>
              <w:rPr>
                <w:sz w:val="21"/>
              </w:rPr>
            </w:pPr>
            <w:r>
              <w:rPr>
                <w:sz w:val="21"/>
              </w:rPr>
              <w:t>侵入途径：吸入。</w:t>
            </w:r>
          </w:p>
          <w:p>
            <w:pPr>
              <w:pStyle w:val="TableParagraph"/>
              <w:spacing w:before="2"/>
              <w:ind w:left="527"/>
              <w:jc w:val="left"/>
              <w:rPr>
                <w:sz w:val="21"/>
              </w:rPr>
            </w:pPr>
            <w:r>
              <w:rPr>
                <w:sz w:val="21"/>
              </w:rPr>
              <w:t>健康危害：低浓度氨对粘膜有刺激作用，高浓度可造成组织溶解坏死。</w:t>
            </w:r>
          </w:p>
          <w:p>
            <w:pPr>
              <w:pStyle w:val="TableParagraph"/>
              <w:spacing w:line="242" w:lineRule="auto" w:before="5"/>
              <w:ind w:left="107" w:right="-15" w:firstLine="419"/>
              <w:jc w:val="left"/>
              <w:rPr>
                <w:sz w:val="21"/>
              </w:rPr>
            </w:pPr>
            <w:r>
              <w:rPr>
                <w:spacing w:val="-9"/>
                <w:sz w:val="21"/>
              </w:rPr>
              <w:t>急性中毒：轻度者出现流泪、咽痛、声音嘶哑、咳嗽、咯痰等；眼结膜、鼻粘膜、咽部充血、</w:t>
            </w:r>
            <w:r>
              <w:rPr>
                <w:spacing w:val="-12"/>
                <w:sz w:val="21"/>
              </w:rPr>
              <w:t>水肿；胸部 </w:t>
            </w:r>
            <w:r>
              <w:rPr>
                <w:rFonts w:ascii="Times New Roman" w:eastAsia="Times New Roman"/>
                <w:sz w:val="21"/>
              </w:rPr>
              <w:t>X</w:t>
            </w:r>
            <w:r>
              <w:rPr>
                <w:rFonts w:ascii="Times New Roman" w:eastAsia="Times New Roman"/>
                <w:spacing w:val="15"/>
                <w:sz w:val="21"/>
              </w:rPr>
              <w:t> </w:t>
            </w:r>
            <w:r>
              <w:rPr>
                <w:spacing w:val="-3"/>
                <w:sz w:val="21"/>
              </w:rPr>
              <w:t>线征象符合支气管炎或支气管周围炎。中度中毒上述症状加剧，出现呼吸困难、紫</w:t>
            </w:r>
            <w:r>
              <w:rPr>
                <w:spacing w:val="-11"/>
                <w:sz w:val="21"/>
              </w:rPr>
              <w:t>绀；胸部 </w:t>
            </w:r>
            <w:r>
              <w:rPr>
                <w:rFonts w:ascii="Times New Roman" w:eastAsia="Times New Roman"/>
                <w:sz w:val="21"/>
              </w:rPr>
              <w:t>X</w:t>
            </w:r>
            <w:r>
              <w:rPr>
                <w:rFonts w:ascii="Times New Roman" w:eastAsia="Times New Roman"/>
                <w:spacing w:val="15"/>
                <w:sz w:val="21"/>
              </w:rPr>
              <w:t> </w:t>
            </w:r>
            <w:r>
              <w:rPr>
                <w:spacing w:val="-3"/>
                <w:sz w:val="21"/>
              </w:rPr>
              <w:t>线征象符合肺炎或间质性肺炎。严重者可发生中毒性肺水肿，或有呼吸窘迫综合征， 患者剧烈咳嗽、咯大量粉红色泡沫痰、呼吸窘迫、谵妄、昏迷、休克等。可发生喉头水肿或支气管粘膜坏死脱落窒息。高浓度氨可引起反射性呼吸停止。液氨或高浓度氨可致眼灼伤；液氨可致</w:t>
            </w:r>
          </w:p>
          <w:p>
            <w:pPr>
              <w:pStyle w:val="TableParagraph"/>
              <w:spacing w:line="252" w:lineRule="exact" w:before="2"/>
              <w:ind w:left="107"/>
              <w:jc w:val="left"/>
              <w:rPr>
                <w:sz w:val="21"/>
              </w:rPr>
            </w:pPr>
            <w:r>
              <w:rPr>
                <w:sz w:val="21"/>
              </w:rPr>
              <w:t>皮肤灼伤</w:t>
            </w:r>
          </w:p>
        </w:tc>
      </w:tr>
      <w:tr>
        <w:trPr>
          <w:trHeight w:val="1362"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急救措施</w:t>
            </w:r>
          </w:p>
          <w:p>
            <w:pPr>
              <w:pStyle w:val="TableParagraph"/>
              <w:spacing w:line="244" w:lineRule="auto" w:before="2"/>
              <w:ind w:left="107" w:right="591" w:firstLine="419"/>
              <w:jc w:val="left"/>
              <w:rPr>
                <w:sz w:val="21"/>
              </w:rPr>
            </w:pPr>
            <w:r>
              <w:rPr>
                <w:sz w:val="21"/>
              </w:rPr>
              <w:t>皮肤接触：立即脱去被污染的衣着，应用 </w:t>
            </w:r>
            <w:r>
              <w:rPr>
                <w:rFonts w:ascii="Times New Roman" w:eastAsia="Times New Roman"/>
                <w:sz w:val="21"/>
              </w:rPr>
              <w:t>2%</w:t>
            </w:r>
            <w:r>
              <w:rPr>
                <w:sz w:val="21"/>
              </w:rPr>
              <w:t>硼酸液或大量流动清水彻底冲洗。就医。眼睛接触：立即提起眼睑，用大量流动清水或生理盐水彻底冲洗至少 </w:t>
            </w:r>
            <w:r>
              <w:rPr>
                <w:rFonts w:ascii="Times New Roman" w:eastAsia="Times New Roman"/>
                <w:sz w:val="21"/>
              </w:rPr>
              <w:t>15 </w:t>
            </w:r>
            <w:r>
              <w:rPr>
                <w:sz w:val="21"/>
              </w:rPr>
              <w:t>分钟。就医。</w:t>
            </w:r>
          </w:p>
          <w:p>
            <w:pPr>
              <w:pStyle w:val="TableParagraph"/>
              <w:spacing w:line="265" w:lineRule="exact"/>
              <w:ind w:left="107"/>
              <w:jc w:val="left"/>
              <w:rPr>
                <w:sz w:val="21"/>
              </w:rPr>
            </w:pPr>
            <w:r>
              <w:rPr>
                <w:sz w:val="21"/>
              </w:rPr>
              <w:t>吸入：迅速脱离现场至空气新鲜处。保持呼吸道通畅。如呼吸困难，给输氧。如呼吸停止，立即</w:t>
            </w:r>
          </w:p>
          <w:p>
            <w:pPr>
              <w:pStyle w:val="TableParagraph"/>
              <w:spacing w:line="252" w:lineRule="exact" w:before="4"/>
              <w:ind w:left="107"/>
              <w:jc w:val="left"/>
              <w:rPr>
                <w:sz w:val="21"/>
              </w:rPr>
            </w:pPr>
            <w:r>
              <w:rPr>
                <w:sz w:val="21"/>
              </w:rPr>
              <w:t>进行人工呼吸。就医。</w:t>
            </w:r>
          </w:p>
        </w:tc>
      </w:tr>
      <w:tr>
        <w:trPr>
          <w:trHeight w:val="1905" w:hRule="atLeast"/>
        </w:trPr>
        <w:tc>
          <w:tcPr>
            <w:tcW w:w="9091" w:type="dxa"/>
            <w:tcBorders>
              <w:top w:val="single" w:sz="6" w:space="0" w:color="000000"/>
            </w:tcBorders>
          </w:tcPr>
          <w:p>
            <w:pPr>
              <w:pStyle w:val="TableParagraph"/>
              <w:spacing w:before="1"/>
              <w:ind w:left="107"/>
              <w:jc w:val="left"/>
              <w:rPr>
                <w:b/>
                <w:sz w:val="21"/>
              </w:rPr>
            </w:pPr>
            <w:r>
              <w:rPr>
                <w:b/>
                <w:sz w:val="21"/>
              </w:rPr>
              <w:t>消防措施</w:t>
            </w:r>
          </w:p>
          <w:p>
            <w:pPr>
              <w:pStyle w:val="TableParagraph"/>
              <w:spacing w:line="244" w:lineRule="auto" w:before="2"/>
              <w:ind w:left="107" w:right="93" w:firstLine="419"/>
              <w:jc w:val="left"/>
              <w:rPr>
                <w:sz w:val="21"/>
              </w:rPr>
            </w:pPr>
            <w:r>
              <w:rPr>
                <w:sz w:val="21"/>
              </w:rPr>
              <w:t>危险特性：与空气混合能形成爆炸性混合物。遇明火、高热能引起燃烧爆炸。与氟、氯等接触会发生剧烈的化学反应。若遇高热，容器内压增大，有开裂和爆炸的危险。</w:t>
            </w:r>
          </w:p>
          <w:p>
            <w:pPr>
              <w:pStyle w:val="TableParagraph"/>
              <w:spacing w:line="265" w:lineRule="exact"/>
              <w:ind w:left="527"/>
              <w:jc w:val="left"/>
              <w:rPr>
                <w:sz w:val="21"/>
              </w:rPr>
            </w:pPr>
            <w:r>
              <w:rPr>
                <w:sz w:val="21"/>
              </w:rPr>
              <w:t>燃烧</w:t>
            </w:r>
            <w:r>
              <w:rPr>
                <w:rFonts w:ascii="Times New Roman" w:eastAsia="Times New Roman"/>
                <w:sz w:val="21"/>
              </w:rPr>
              <w:t>(</w:t>
            </w:r>
            <w:r>
              <w:rPr>
                <w:sz w:val="21"/>
              </w:rPr>
              <w:t>分解</w:t>
            </w:r>
            <w:r>
              <w:rPr>
                <w:rFonts w:ascii="Times New Roman" w:eastAsia="Times New Roman"/>
                <w:sz w:val="21"/>
              </w:rPr>
              <w:t>)</w:t>
            </w:r>
            <w:r>
              <w:rPr>
                <w:sz w:val="21"/>
              </w:rPr>
              <w:t>产物：氧化氮、氨</w:t>
            </w:r>
          </w:p>
          <w:p>
            <w:pPr>
              <w:pStyle w:val="TableParagraph"/>
              <w:spacing w:before="2"/>
              <w:ind w:left="107" w:firstLine="422"/>
              <w:jc w:val="left"/>
              <w:rPr>
                <w:sz w:val="21"/>
              </w:rPr>
            </w:pPr>
            <w:r>
              <w:rPr>
                <w:sz w:val="21"/>
              </w:rPr>
              <w:t>灭火方法：消防人员必须穿戴全身防火防毒服。切断气源。若不能立即切断气源，则不允许</w:t>
            </w:r>
          </w:p>
          <w:p>
            <w:pPr>
              <w:pStyle w:val="TableParagraph"/>
              <w:spacing w:line="270" w:lineRule="atLeast" w:before="4"/>
              <w:ind w:left="107" w:right="90"/>
              <w:jc w:val="left"/>
              <w:rPr>
                <w:sz w:val="21"/>
              </w:rPr>
            </w:pPr>
            <w:r>
              <w:rPr>
                <w:sz w:val="21"/>
              </w:rPr>
              <w:t>熄灭正在燃烧的气体。喷水冷却容器，可能的话将容器从火场移至空旷处。灭火剂：雾状水、抗溶性泡沫、二氧化碳、砂土</w:t>
            </w:r>
          </w:p>
        </w:tc>
      </w:tr>
    </w:tbl>
    <w:p>
      <w:pPr>
        <w:spacing w:after="0" w:line="270" w:lineRule="atLeast"/>
        <w:jc w:val="left"/>
        <w:rPr>
          <w:sz w:val="21"/>
        </w:rPr>
        <w:sectPr>
          <w:pgSz w:w="11910" w:h="16840"/>
          <w:pgMar w:header="0" w:footer="952" w:top="1580" w:bottom="1180" w:left="1240" w:right="1240"/>
        </w:sectPr>
      </w:pPr>
    </w:p>
    <w:p>
      <w:pPr>
        <w:pStyle w:val="BodyText"/>
        <w:rPr>
          <w:rFonts w:ascii="Times New Roman"/>
          <w:sz w:val="9"/>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2178" w:hRule="atLeast"/>
        </w:trPr>
        <w:tc>
          <w:tcPr>
            <w:tcW w:w="9091" w:type="dxa"/>
            <w:tcBorders>
              <w:bottom w:val="single" w:sz="6" w:space="0" w:color="000000"/>
            </w:tcBorders>
          </w:tcPr>
          <w:p>
            <w:pPr>
              <w:pStyle w:val="TableParagraph"/>
              <w:spacing w:before="1"/>
              <w:ind w:left="107"/>
              <w:jc w:val="left"/>
              <w:rPr>
                <w:b/>
                <w:sz w:val="21"/>
              </w:rPr>
            </w:pPr>
            <w:r>
              <w:rPr>
                <w:b/>
                <w:sz w:val="21"/>
              </w:rPr>
              <w:t>泄漏应急处理</w:t>
            </w:r>
          </w:p>
          <w:p>
            <w:pPr>
              <w:pStyle w:val="TableParagraph"/>
              <w:spacing w:line="242" w:lineRule="auto" w:before="2"/>
              <w:ind w:left="107" w:right="90" w:firstLine="422"/>
              <w:jc w:val="both"/>
              <w:rPr>
                <w:sz w:val="21"/>
              </w:rPr>
            </w:pPr>
            <w:r>
              <w:rPr>
                <w:spacing w:val="-4"/>
                <w:sz w:val="21"/>
              </w:rPr>
              <w:t>迅速撤离泄漏污染区人员至上风处，并立即进行隔离 </w:t>
            </w:r>
            <w:r>
              <w:rPr>
                <w:rFonts w:ascii="Times New Roman" w:eastAsia="Times New Roman"/>
                <w:sz w:val="21"/>
              </w:rPr>
              <w:t>150 </w:t>
            </w:r>
            <w:r>
              <w:rPr>
                <w:spacing w:val="-3"/>
                <w:sz w:val="21"/>
              </w:rPr>
              <w:t>米，严格限制出入，切断火源。建</w:t>
            </w:r>
            <w:r>
              <w:rPr>
                <w:spacing w:val="-4"/>
                <w:sz w:val="21"/>
              </w:rPr>
              <w:t>议应急处理人员戴自给正压式呼吸器，穿防毒服。尽可能切断泄漏源。合理通风，加速扩散。高</w:t>
            </w:r>
            <w:r>
              <w:rPr>
                <w:spacing w:val="-1"/>
                <w:sz w:val="21"/>
              </w:rPr>
              <w:t>浓度泄漏区，喷含盐酸的雾状水中和、稀释、溶解。构筑围堤或挖坑收容产生的大量废水。如有可能，将残余气或漏出气用排风机送至水洗塔或与塔相连的通风橱内。储罐区最好设稀酸喷洒设</w:t>
            </w:r>
            <w:r>
              <w:rPr>
                <w:spacing w:val="-3"/>
                <w:sz w:val="21"/>
              </w:rPr>
              <w:t>施。漏气容器要妥善处理，修复、检验后再用。</w:t>
            </w:r>
          </w:p>
          <w:p>
            <w:pPr>
              <w:pStyle w:val="TableParagraph"/>
              <w:spacing w:line="270" w:lineRule="atLeast" w:before="3"/>
              <w:ind w:left="107" w:right="91"/>
              <w:jc w:val="left"/>
              <w:rPr>
                <w:sz w:val="21"/>
              </w:rPr>
            </w:pPr>
            <w:r>
              <w:rPr>
                <w:sz w:val="21"/>
              </w:rPr>
              <w:t>废弃物处置方法：建议废料液用水稀释，加盐酸中和后，排入下水道。造纸、纺织、肥料工业中的含氨废料回收使用</w:t>
            </w:r>
          </w:p>
        </w:tc>
      </w:tr>
      <w:tr>
        <w:trPr>
          <w:trHeight w:val="272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4" w:lineRule="auto" w:before="2"/>
              <w:ind w:left="527" w:right="2875"/>
              <w:jc w:val="left"/>
              <w:rPr>
                <w:sz w:val="21"/>
              </w:rPr>
            </w:pPr>
            <w:r>
              <w:rPr>
                <w:sz w:val="21"/>
              </w:rPr>
              <w:t>操作注意事项：严加密闭，提供充分的局部排风和全面通风。操作人员必须经过专门培训，严格遵守操作规程。</w:t>
            </w:r>
          </w:p>
          <w:p>
            <w:pPr>
              <w:pStyle w:val="TableParagraph"/>
              <w:spacing w:line="242" w:lineRule="auto"/>
              <w:ind w:left="107" w:right="90" w:firstLine="419"/>
              <w:jc w:val="both"/>
              <w:rPr>
                <w:sz w:val="21"/>
              </w:rPr>
            </w:pPr>
            <w:r>
              <w:rPr>
                <w:spacing w:val="-4"/>
                <w:w w:val="100"/>
                <w:sz w:val="21"/>
              </w:rPr>
              <w:t>建议操作人员佩戴过滤式防毒面具</w:t>
            </w:r>
            <w:r>
              <w:rPr>
                <w:w w:val="100"/>
                <w:sz w:val="21"/>
              </w:rPr>
              <w:t>（</w:t>
            </w:r>
            <w:r>
              <w:rPr>
                <w:spacing w:val="-2"/>
                <w:w w:val="100"/>
                <w:sz w:val="21"/>
              </w:rPr>
              <w:t>半面罩</w:t>
            </w:r>
            <w:r>
              <w:rPr>
                <w:spacing w:val="-108"/>
                <w:w w:val="100"/>
                <w:sz w:val="21"/>
              </w:rPr>
              <w:t>）</w:t>
            </w:r>
            <w:r>
              <w:rPr>
                <w:spacing w:val="-7"/>
                <w:w w:val="100"/>
                <w:sz w:val="21"/>
              </w:rPr>
              <w:t>，戴化学安全防护眼镜，穿防静电工作服，戴橡</w:t>
            </w:r>
            <w:r>
              <w:rPr>
                <w:spacing w:val="-8"/>
                <w:sz w:val="21"/>
              </w:rPr>
              <w:t>胶手套。远离火种、热源，工作场所严禁吸烟。使用防爆型的通风系统和设备。防止气体泄漏到</w:t>
            </w:r>
            <w:r>
              <w:rPr>
                <w:spacing w:val="-1"/>
                <w:sz w:val="21"/>
              </w:rPr>
              <w:t>工作场所空气中。避免与氧化剂、酸类、卤素接触。搬运时轻装轻卸，防止钢瓶及附件破损。配</w:t>
            </w:r>
            <w:r>
              <w:rPr>
                <w:spacing w:val="-3"/>
                <w:sz w:val="21"/>
              </w:rPr>
              <w:t>备相应品种和数量的消防器材及泄漏应急处理设备</w:t>
            </w:r>
          </w:p>
          <w:p>
            <w:pPr>
              <w:pStyle w:val="TableParagraph"/>
              <w:ind w:left="107" w:firstLine="419"/>
              <w:jc w:val="left"/>
              <w:rPr>
                <w:sz w:val="21"/>
              </w:rPr>
            </w:pPr>
            <w:r>
              <w:rPr>
                <w:sz w:val="21"/>
              </w:rPr>
              <w:t>储存注意事项：储存于阴凉、通风的库房。远离火种、热源。库温不宜超过 </w:t>
            </w:r>
            <w:r>
              <w:rPr>
                <w:rFonts w:ascii="Times New Roman" w:hAnsi="Times New Roman" w:eastAsia="Times New Roman"/>
                <w:sz w:val="21"/>
              </w:rPr>
              <w:t>30</w:t>
            </w:r>
            <w:r>
              <w:rPr>
                <w:sz w:val="21"/>
              </w:rPr>
              <w:t>℃。应与氧化</w:t>
            </w:r>
          </w:p>
          <w:p>
            <w:pPr>
              <w:pStyle w:val="TableParagraph"/>
              <w:spacing w:line="270" w:lineRule="atLeast" w:before="2"/>
              <w:ind w:left="107" w:right="91"/>
              <w:jc w:val="left"/>
              <w:rPr>
                <w:sz w:val="21"/>
              </w:rPr>
            </w:pPr>
            <w:r>
              <w:rPr>
                <w:sz w:val="21"/>
              </w:rPr>
              <w:t>剂、酸类、卤素、食用化学品分开存放，切忌混储。采用防爆型照明、通风设施。禁止使用易产生火花的机械设备和工具。储区应备有泄漏应急处理设备</w:t>
            </w:r>
          </w:p>
        </w:tc>
      </w:tr>
      <w:tr>
        <w:trPr>
          <w:trHeight w:val="272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line="244" w:lineRule="auto" w:before="2"/>
              <w:ind w:left="107" w:right="69" w:firstLine="374"/>
              <w:jc w:val="left"/>
              <w:rPr>
                <w:rFonts w:ascii="Times New Roman" w:eastAsia="Times New Roman"/>
                <w:sz w:val="21"/>
              </w:rPr>
            </w:pPr>
            <w:r>
              <w:rPr>
                <w:sz w:val="21"/>
              </w:rPr>
              <w:t>中国 </w:t>
            </w:r>
            <w:r>
              <w:rPr>
                <w:rFonts w:ascii="Times New Roman" w:eastAsia="Times New Roman"/>
                <w:sz w:val="21"/>
              </w:rPr>
              <w:t>MAC</w:t>
            </w:r>
            <w:r>
              <w:rPr>
                <w:sz w:val="21"/>
              </w:rPr>
              <w:t>：</w:t>
            </w:r>
            <w:r>
              <w:rPr>
                <w:rFonts w:ascii="Times New Roman" w:eastAsia="Times New Roman"/>
                <w:sz w:val="21"/>
              </w:rPr>
              <w:t>30mg/m</w:t>
            </w:r>
            <w:r>
              <w:rPr>
                <w:rFonts w:ascii="Times New Roman" w:eastAsia="Times New Roman"/>
                <w:sz w:val="21"/>
                <w:vertAlign w:val="superscript"/>
              </w:rPr>
              <w:t>3</w:t>
            </w:r>
            <w:r>
              <w:rPr>
                <w:rFonts w:ascii="Times New Roman" w:eastAsia="Times New Roman"/>
                <w:sz w:val="21"/>
                <w:vertAlign w:val="baseline"/>
              </w:rPr>
              <w:t>(</w:t>
            </w:r>
            <w:r>
              <w:rPr>
                <w:sz w:val="21"/>
                <w:vertAlign w:val="baseline"/>
              </w:rPr>
              <w:t>空气中</w:t>
            </w:r>
            <w:r>
              <w:rPr>
                <w:rFonts w:ascii="Times New Roman" w:eastAsia="Times New Roman"/>
                <w:sz w:val="21"/>
                <w:vertAlign w:val="baseline"/>
              </w:rPr>
              <w:t>)</w:t>
            </w:r>
            <w:r>
              <w:rPr>
                <w:sz w:val="21"/>
                <w:vertAlign w:val="baseline"/>
              </w:rPr>
              <w:t>；</w:t>
            </w:r>
            <w:r>
              <w:rPr>
                <w:rFonts w:ascii="Times New Roman" w:eastAsia="Times New Roman"/>
                <w:sz w:val="21"/>
                <w:vertAlign w:val="baseline"/>
              </w:rPr>
              <w:t>0.02m</w:t>
            </w:r>
            <w:r>
              <w:rPr>
                <w:rFonts w:ascii="Times New Roman" w:eastAsia="Times New Roman"/>
                <w:sz w:val="21"/>
                <w:vertAlign w:val="superscript"/>
              </w:rPr>
              <w:t>3</w:t>
            </w:r>
            <w:r>
              <w:rPr>
                <w:rFonts w:ascii="Times New Roman" w:eastAsia="Times New Roman"/>
                <w:sz w:val="21"/>
                <w:vertAlign w:val="baseline"/>
              </w:rPr>
              <w:t>/l(</w:t>
            </w:r>
            <w:r>
              <w:rPr>
                <w:sz w:val="21"/>
                <w:vertAlign w:val="baseline"/>
              </w:rPr>
              <w:t>水中，以</w:t>
            </w:r>
            <w:r>
              <w:rPr>
                <w:rFonts w:ascii="Times New Roman" w:eastAsia="Times New Roman"/>
                <w:sz w:val="21"/>
                <w:vertAlign w:val="baseline"/>
              </w:rPr>
              <w:t>NH</w:t>
            </w:r>
            <w:r>
              <w:rPr>
                <w:rFonts w:ascii="Times New Roman" w:eastAsia="Times New Roman"/>
                <w:sz w:val="21"/>
                <w:vertAlign w:val="subscript"/>
              </w:rPr>
              <w:t>3</w:t>
            </w:r>
            <w:r>
              <w:rPr>
                <w:rFonts w:ascii="Times New Roman" w:eastAsia="Times New Roman"/>
                <w:sz w:val="21"/>
                <w:vertAlign w:val="baseline"/>
              </w:rPr>
              <w:t> </w:t>
            </w:r>
            <w:r>
              <w:rPr>
                <w:sz w:val="21"/>
                <w:vertAlign w:val="baseline"/>
              </w:rPr>
              <w:t>计</w:t>
            </w:r>
            <w:r>
              <w:rPr>
                <w:rFonts w:ascii="Times New Roman" w:eastAsia="Times New Roman"/>
                <w:sz w:val="21"/>
                <w:vertAlign w:val="baseline"/>
              </w:rPr>
              <w:t>) </w:t>
            </w:r>
            <w:r>
              <w:rPr>
                <w:sz w:val="21"/>
                <w:vertAlign w:val="baseline"/>
              </w:rPr>
              <w:t>前苏联 </w:t>
            </w:r>
            <w:r>
              <w:rPr>
                <w:rFonts w:ascii="Times New Roman" w:eastAsia="Times New Roman"/>
                <w:sz w:val="21"/>
                <w:vertAlign w:val="baseline"/>
              </w:rPr>
              <w:t>MAC</w:t>
            </w:r>
            <w:r>
              <w:rPr>
                <w:sz w:val="21"/>
                <w:vertAlign w:val="baseline"/>
              </w:rPr>
              <w:t>：</w:t>
            </w:r>
            <w:r>
              <w:rPr>
                <w:rFonts w:ascii="Times New Roman" w:eastAsia="Times New Roman"/>
                <w:sz w:val="21"/>
                <w:vertAlign w:val="baseline"/>
              </w:rPr>
              <w:t>20mg/m</w:t>
            </w:r>
            <w:r>
              <w:rPr>
                <w:rFonts w:ascii="Times New Roman" w:eastAsia="Times New Roman"/>
                <w:sz w:val="21"/>
                <w:vertAlign w:val="superscript"/>
              </w:rPr>
              <w:t>3</w:t>
            </w:r>
            <w:r>
              <w:rPr>
                <w:rFonts w:ascii="Times New Roman" w:eastAsia="Times New Roman"/>
                <w:sz w:val="21"/>
                <w:vertAlign w:val="baseline"/>
              </w:rPr>
              <w:t>'(</w:t>
            </w:r>
            <w:r>
              <w:rPr>
                <w:sz w:val="21"/>
                <w:vertAlign w:val="baseline"/>
              </w:rPr>
              <w:t>空气中， 工作场所</w:t>
            </w:r>
            <w:r>
              <w:rPr>
                <w:rFonts w:ascii="Times New Roman" w:eastAsia="Times New Roman"/>
                <w:sz w:val="21"/>
                <w:vertAlign w:val="baseline"/>
              </w:rPr>
              <w:t>)</w:t>
            </w:r>
            <w:r>
              <w:rPr>
                <w:sz w:val="21"/>
                <w:vertAlign w:val="baseline"/>
              </w:rPr>
              <w:t>；</w:t>
            </w:r>
            <w:r>
              <w:rPr>
                <w:rFonts w:ascii="Times New Roman" w:eastAsia="Times New Roman"/>
                <w:sz w:val="21"/>
                <w:vertAlign w:val="baseline"/>
              </w:rPr>
              <w:t>0.2mg/m</w:t>
            </w:r>
            <w:r>
              <w:rPr>
                <w:rFonts w:ascii="Times New Roman" w:eastAsia="Times New Roman"/>
                <w:sz w:val="21"/>
                <w:vertAlign w:val="superscript"/>
              </w:rPr>
              <w:t>3</w:t>
            </w:r>
            <w:r>
              <w:rPr>
                <w:rFonts w:ascii="Times New Roman" w:eastAsia="Times New Roman"/>
                <w:sz w:val="21"/>
                <w:vertAlign w:val="baseline"/>
              </w:rPr>
              <w:t>(</w:t>
            </w:r>
            <w:r>
              <w:rPr>
                <w:sz w:val="21"/>
                <w:vertAlign w:val="baseline"/>
              </w:rPr>
              <w:t>空气中，居住区</w:t>
            </w:r>
            <w:r>
              <w:rPr>
                <w:rFonts w:ascii="Times New Roman" w:eastAsia="Times New Roman"/>
                <w:sz w:val="21"/>
                <w:vertAlign w:val="baseline"/>
              </w:rPr>
              <w:t>)</w:t>
            </w:r>
            <w:r>
              <w:rPr>
                <w:sz w:val="21"/>
                <w:vertAlign w:val="baseline"/>
              </w:rPr>
              <w:t>；</w:t>
            </w:r>
            <w:r>
              <w:rPr>
                <w:rFonts w:ascii="Times New Roman" w:eastAsia="Times New Roman"/>
                <w:sz w:val="21"/>
                <w:vertAlign w:val="baseline"/>
              </w:rPr>
              <w:t>2.0mg/ml </w:t>
            </w:r>
            <w:r>
              <w:rPr>
                <w:sz w:val="21"/>
                <w:vertAlign w:val="baseline"/>
              </w:rPr>
              <w:t>（水中，生活用水</w:t>
            </w:r>
            <w:r>
              <w:rPr>
                <w:rFonts w:ascii="Times New Roman" w:eastAsia="Times New Roman"/>
                <w:sz w:val="21"/>
                <w:vertAlign w:val="baseline"/>
              </w:rPr>
              <w:t>)</w:t>
            </w:r>
          </w:p>
          <w:p>
            <w:pPr>
              <w:pStyle w:val="TableParagraph"/>
              <w:spacing w:line="265" w:lineRule="exact"/>
              <w:ind w:left="527"/>
              <w:jc w:val="left"/>
              <w:rPr>
                <w:sz w:val="21"/>
              </w:rPr>
            </w:pPr>
            <w:r>
              <w:rPr>
                <w:sz w:val="21"/>
              </w:rPr>
              <w:t>工程控制：严加密闭，提供充分的局部排风和全面通风。提供安全淋浴和洗眼设备。</w:t>
            </w:r>
          </w:p>
          <w:p>
            <w:pPr>
              <w:pStyle w:val="TableParagraph"/>
              <w:spacing w:line="242" w:lineRule="auto" w:before="4"/>
              <w:ind w:left="107" w:right="93" w:firstLine="419"/>
              <w:jc w:val="left"/>
              <w:rPr>
                <w:sz w:val="21"/>
              </w:rPr>
            </w:pPr>
            <w:r>
              <w:rPr>
                <w:spacing w:val="-7"/>
                <w:sz w:val="21"/>
              </w:rPr>
              <w:t>呼吸系统防护：空气中浓度超标时，建议佩戴过滤式防毒面具</w:t>
            </w:r>
            <w:r>
              <w:rPr>
                <w:spacing w:val="-3"/>
                <w:sz w:val="21"/>
              </w:rPr>
              <w:t>（</w:t>
            </w:r>
            <w:r>
              <w:rPr>
                <w:spacing w:val="-2"/>
                <w:sz w:val="21"/>
              </w:rPr>
              <w:t>半面罩</w:t>
            </w:r>
            <w:r>
              <w:rPr>
                <w:spacing w:val="-108"/>
                <w:sz w:val="21"/>
              </w:rPr>
              <w:t>）</w:t>
            </w:r>
            <w:r>
              <w:rPr>
                <w:spacing w:val="-5"/>
                <w:sz w:val="21"/>
              </w:rPr>
              <w:t>。紧急事态抢救或撤</w:t>
            </w:r>
            <w:r>
              <w:rPr>
                <w:spacing w:val="-4"/>
                <w:sz w:val="21"/>
              </w:rPr>
              <w:t>离时，必须佩戴空气呼吸器。</w:t>
            </w:r>
          </w:p>
          <w:p>
            <w:pPr>
              <w:pStyle w:val="TableParagraph"/>
              <w:spacing w:line="242" w:lineRule="auto" w:before="2"/>
              <w:ind w:left="527" w:right="5397"/>
              <w:jc w:val="left"/>
              <w:rPr>
                <w:sz w:val="21"/>
              </w:rPr>
            </w:pPr>
            <w:r>
              <w:rPr>
                <w:sz w:val="21"/>
              </w:rPr>
              <w:t>眼睛防护：戴化学安全防护眼镜。身体防护：穿防静电工作服。</w:t>
            </w:r>
          </w:p>
          <w:p>
            <w:pPr>
              <w:pStyle w:val="TableParagraph"/>
              <w:spacing w:before="1"/>
              <w:ind w:left="527"/>
              <w:jc w:val="left"/>
              <w:rPr>
                <w:sz w:val="21"/>
              </w:rPr>
            </w:pPr>
            <w:r>
              <w:rPr>
                <w:sz w:val="21"/>
              </w:rPr>
              <w:t>手防护：戴橡胶手套。</w:t>
            </w:r>
          </w:p>
          <w:p>
            <w:pPr>
              <w:pStyle w:val="TableParagraph"/>
              <w:spacing w:line="252" w:lineRule="exact" w:before="2"/>
              <w:ind w:left="527"/>
              <w:jc w:val="left"/>
              <w:rPr>
                <w:sz w:val="21"/>
              </w:rPr>
            </w:pPr>
            <w:r>
              <w:rPr>
                <w:sz w:val="21"/>
              </w:rPr>
              <w:t>其他防护：工作现场禁止吸烟、进食和饮水。工作完毕，淋浴更衣。保持良好的卫生习惯</w:t>
            </w:r>
          </w:p>
        </w:tc>
      </w:tr>
      <w:tr>
        <w:trPr>
          <w:trHeight w:val="2344"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理化特性</w:t>
            </w:r>
          </w:p>
          <w:p>
            <w:pPr>
              <w:pStyle w:val="TableParagraph"/>
              <w:spacing w:line="321" w:lineRule="auto" w:before="91"/>
              <w:ind w:left="107" w:right="69" w:firstLine="479"/>
              <w:jc w:val="both"/>
              <w:rPr>
                <w:rFonts w:ascii="Times New Roman" w:hAnsi="Times New Roman" w:eastAsia="Times New Roman"/>
                <w:sz w:val="21"/>
              </w:rPr>
            </w:pPr>
            <w:r>
              <w:rPr>
                <w:spacing w:val="-9"/>
                <w:sz w:val="21"/>
              </w:rPr>
              <w:t>含量：工业级 </w:t>
            </w:r>
            <w:r>
              <w:rPr>
                <w:rFonts w:ascii="Times New Roman" w:hAnsi="Times New Roman" w:eastAsia="Times New Roman"/>
                <w:sz w:val="21"/>
              </w:rPr>
              <w:t>31%</w:t>
            </w:r>
            <w:r>
              <w:rPr>
                <w:rFonts w:ascii="Times New Roman" w:hAnsi="Times New Roman" w:eastAsia="Times New Roman"/>
                <w:spacing w:val="8"/>
                <w:sz w:val="21"/>
              </w:rPr>
              <w:t>   </w:t>
            </w:r>
            <w:r>
              <w:rPr>
                <w:spacing w:val="-5"/>
                <w:sz w:val="21"/>
              </w:rPr>
              <w:t>无色液体，有强烈刺激性气味，极易气化为气氨。密度 </w:t>
            </w:r>
            <w:r>
              <w:rPr>
                <w:rFonts w:ascii="Times New Roman" w:hAnsi="Times New Roman" w:eastAsia="Times New Roman"/>
                <w:sz w:val="21"/>
              </w:rPr>
              <w:t>0.617g/cm3</w:t>
            </w:r>
            <w:r>
              <w:rPr>
                <w:sz w:val="21"/>
              </w:rPr>
              <w:t>； </w:t>
            </w:r>
            <w:r>
              <w:rPr>
                <w:spacing w:val="-2"/>
                <w:sz w:val="21"/>
              </w:rPr>
              <w:t>沸点为－</w:t>
            </w:r>
            <w:r>
              <w:rPr>
                <w:rFonts w:ascii="Times New Roman" w:hAnsi="Times New Roman" w:eastAsia="Times New Roman"/>
                <w:spacing w:val="-5"/>
                <w:sz w:val="21"/>
              </w:rPr>
              <w:t>33.5</w:t>
            </w:r>
            <w:r>
              <w:rPr>
                <w:spacing w:val="-4"/>
                <w:sz w:val="21"/>
              </w:rPr>
              <w:t>℃，低于－</w:t>
            </w:r>
            <w:r>
              <w:rPr>
                <w:rFonts w:ascii="Times New Roman" w:hAnsi="Times New Roman" w:eastAsia="Times New Roman"/>
                <w:sz w:val="21"/>
              </w:rPr>
              <w:t>77.7</w:t>
            </w:r>
            <w:r>
              <w:rPr>
                <w:spacing w:val="-5"/>
                <w:sz w:val="21"/>
              </w:rPr>
              <w:t>℃可成为具有臭味的无色结晶。液氨相对密度</w:t>
            </w:r>
            <w:r>
              <w:rPr>
                <w:rFonts w:ascii="Times New Roman" w:hAnsi="Times New Roman" w:eastAsia="Times New Roman"/>
                <w:sz w:val="21"/>
              </w:rPr>
              <w:t>(</w:t>
            </w:r>
            <w:r>
              <w:rPr>
                <w:spacing w:val="-3"/>
                <w:sz w:val="21"/>
              </w:rPr>
              <w:t>水</w:t>
            </w:r>
            <w:r>
              <w:rPr>
                <w:rFonts w:ascii="Times New Roman" w:hAnsi="Times New Roman" w:eastAsia="Times New Roman"/>
                <w:spacing w:val="-3"/>
                <w:sz w:val="21"/>
              </w:rPr>
              <w:t>=1)</w:t>
            </w:r>
            <w:r>
              <w:rPr>
                <w:spacing w:val="-3"/>
                <w:sz w:val="21"/>
              </w:rPr>
              <w:t>：</w:t>
            </w:r>
            <w:r>
              <w:rPr>
                <w:rFonts w:ascii="Times New Roman" w:hAnsi="Times New Roman" w:eastAsia="Times New Roman"/>
                <w:spacing w:val="-3"/>
                <w:sz w:val="21"/>
              </w:rPr>
              <w:t>0.602824(25</w:t>
            </w:r>
            <w:r>
              <w:rPr>
                <w:spacing w:val="-3"/>
                <w:sz w:val="21"/>
              </w:rPr>
              <w:t>℃</w:t>
            </w:r>
            <w:r>
              <w:rPr>
                <w:rFonts w:ascii="Times New Roman" w:hAnsi="Times New Roman" w:eastAsia="Times New Roman"/>
                <w:spacing w:val="-3"/>
                <w:sz w:val="21"/>
              </w:rPr>
              <w:t>) </w:t>
            </w:r>
            <w:r>
              <w:rPr>
                <w:sz w:val="21"/>
              </w:rPr>
              <w:t>熔点</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w:t>
            </w:r>
            <w:r>
              <w:rPr>
                <w:rFonts w:ascii="Times New Roman" w:hAnsi="Times New Roman" w:eastAsia="Times New Roman"/>
                <w:sz w:val="21"/>
              </w:rPr>
              <w:t>-77.7</w:t>
            </w:r>
            <w:r>
              <w:rPr>
                <w:spacing w:val="-13"/>
                <w:sz w:val="21"/>
              </w:rPr>
              <w:t>，水溶液 </w:t>
            </w:r>
            <w:r>
              <w:rPr>
                <w:rFonts w:ascii="Times New Roman" w:hAnsi="Times New Roman" w:eastAsia="Times New Roman"/>
                <w:sz w:val="21"/>
              </w:rPr>
              <w:t>pH </w:t>
            </w:r>
            <w:r>
              <w:rPr>
                <w:spacing w:val="-3"/>
                <w:sz w:val="21"/>
              </w:rPr>
              <w:t>值：</w:t>
            </w:r>
            <w:r>
              <w:rPr>
                <w:rFonts w:ascii="Times New Roman" w:hAnsi="Times New Roman" w:eastAsia="Times New Roman"/>
                <w:spacing w:val="-3"/>
                <w:sz w:val="21"/>
              </w:rPr>
              <w:t>11.7</w:t>
            </w:r>
            <w:r>
              <w:rPr>
                <w:spacing w:val="-2"/>
                <w:sz w:val="21"/>
              </w:rPr>
              <w:t>，自燃点：</w:t>
            </w:r>
            <w:r>
              <w:rPr>
                <w:rFonts w:ascii="Times New Roman" w:hAnsi="Times New Roman" w:eastAsia="Times New Roman"/>
                <w:sz w:val="21"/>
              </w:rPr>
              <w:t>651.11</w:t>
            </w:r>
            <w:r>
              <w:rPr>
                <w:spacing w:val="-2"/>
                <w:sz w:val="21"/>
              </w:rPr>
              <w:t>℃，爆炸极限：</w:t>
            </w:r>
            <w:r>
              <w:rPr>
                <w:rFonts w:ascii="Times New Roman" w:hAnsi="Times New Roman" w:eastAsia="Times New Roman"/>
                <w:sz w:val="21"/>
              </w:rPr>
              <w:t>16%</w:t>
            </w:r>
            <w:r>
              <w:rPr>
                <w:sz w:val="21"/>
              </w:rPr>
              <w:t>～</w:t>
            </w:r>
            <w:r>
              <w:rPr>
                <w:rFonts w:ascii="Times New Roman" w:hAnsi="Times New Roman" w:eastAsia="Times New Roman"/>
                <w:sz w:val="21"/>
              </w:rPr>
              <w:t>25%</w:t>
            </w:r>
          </w:p>
          <w:p>
            <w:pPr>
              <w:pStyle w:val="TableParagraph"/>
              <w:spacing w:line="267" w:lineRule="exact"/>
              <w:ind w:left="107"/>
              <w:jc w:val="left"/>
              <w:rPr>
                <w:sz w:val="21"/>
              </w:rPr>
            </w:pPr>
            <w:r>
              <w:rPr>
                <w:sz w:val="21"/>
              </w:rPr>
              <w:t>主要用途：主要用于生产硝酸、尿素和其他化学肥料，还可用作医药和农药的原料。在国防工业</w:t>
            </w:r>
          </w:p>
          <w:p>
            <w:pPr>
              <w:pStyle w:val="TableParagraph"/>
              <w:spacing w:line="270" w:lineRule="atLeast" w:before="90"/>
              <w:ind w:left="467" w:right="983" w:hanging="360"/>
              <w:jc w:val="left"/>
              <w:rPr>
                <w:sz w:val="21"/>
              </w:rPr>
            </w:pPr>
            <w:r>
              <w:rPr>
                <w:sz w:val="21"/>
              </w:rPr>
              <w:t>中，用于制造火箭、导弹的推进剂。可用作有机化工产品的氨化原料，还可用作冷冻剂禁配物：碱类、碱金属、水、强还原剂、易燃或可燃物</w:t>
            </w:r>
          </w:p>
        </w:tc>
      </w:tr>
      <w:tr>
        <w:trPr>
          <w:trHeight w:val="2178"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毒理学资料</w:t>
            </w:r>
          </w:p>
          <w:p>
            <w:pPr>
              <w:pStyle w:val="TableParagraph"/>
              <w:spacing w:before="3"/>
              <w:ind w:left="590"/>
              <w:jc w:val="left"/>
              <w:rPr>
                <w:sz w:val="21"/>
              </w:rPr>
            </w:pPr>
            <w:r>
              <w:rPr>
                <w:sz w:val="21"/>
              </w:rPr>
              <w:t>毒性：属低毒类。</w:t>
            </w:r>
          </w:p>
          <w:p>
            <w:pPr>
              <w:pStyle w:val="TableParagraph"/>
              <w:spacing w:line="242" w:lineRule="auto" w:before="4"/>
              <w:ind w:left="590" w:right="1396"/>
              <w:jc w:val="left"/>
              <w:rPr>
                <w:sz w:val="21"/>
              </w:rPr>
            </w:pPr>
            <w:r>
              <w:rPr>
                <w:sz w:val="21"/>
              </w:rPr>
              <w:t>急性毒性：</w:t>
            </w:r>
            <w:r>
              <w:rPr>
                <w:rFonts w:ascii="Times New Roman" w:eastAsia="Times New Roman"/>
                <w:sz w:val="21"/>
              </w:rPr>
              <w:t>LD</w:t>
            </w:r>
            <w:r>
              <w:rPr>
                <w:rFonts w:ascii="Times New Roman" w:eastAsia="Times New Roman"/>
                <w:sz w:val="21"/>
                <w:vertAlign w:val="subscript"/>
              </w:rPr>
              <w:t>50</w:t>
            </w:r>
            <w:r>
              <w:rPr>
                <w:rFonts w:ascii="Times New Roman" w:eastAsia="Times New Roman"/>
                <w:sz w:val="21"/>
                <w:vertAlign w:val="baseline"/>
              </w:rPr>
              <w:t>350mg/kg(</w:t>
            </w:r>
            <w:r>
              <w:rPr>
                <w:sz w:val="21"/>
                <w:vertAlign w:val="baseline"/>
              </w:rPr>
              <w:t>大鼠经口</w:t>
            </w:r>
            <w:r>
              <w:rPr>
                <w:rFonts w:ascii="Times New Roman" w:eastAsia="Times New Roman"/>
                <w:sz w:val="21"/>
                <w:vertAlign w:val="baseline"/>
              </w:rPr>
              <w:t>)</w:t>
            </w:r>
            <w:r>
              <w:rPr>
                <w:sz w:val="21"/>
                <w:vertAlign w:val="baseline"/>
              </w:rPr>
              <w:t>；</w:t>
            </w:r>
            <w:r>
              <w:rPr>
                <w:rFonts w:ascii="Times New Roman" w:eastAsia="Times New Roman"/>
                <w:sz w:val="21"/>
                <w:vertAlign w:val="baseline"/>
              </w:rPr>
              <w:t>LC</w:t>
            </w:r>
            <w:r>
              <w:rPr>
                <w:rFonts w:ascii="Times New Roman" w:eastAsia="Times New Roman"/>
                <w:sz w:val="21"/>
                <w:vertAlign w:val="subscript"/>
              </w:rPr>
              <w:t>50</w:t>
            </w:r>
            <w:r>
              <w:rPr>
                <w:rFonts w:ascii="Times New Roman" w:eastAsia="Times New Roman"/>
                <w:sz w:val="21"/>
                <w:vertAlign w:val="baseline"/>
              </w:rPr>
              <w:t>1390mg/m</w:t>
            </w:r>
            <w:r>
              <w:rPr>
                <w:rFonts w:ascii="Times New Roman" w:eastAsia="Times New Roman"/>
                <w:sz w:val="21"/>
                <w:vertAlign w:val="superscript"/>
              </w:rPr>
              <w:t>3</w:t>
            </w:r>
            <w:r>
              <w:rPr>
                <w:sz w:val="21"/>
                <w:vertAlign w:val="baseline"/>
              </w:rPr>
              <w:t>，</w:t>
            </w:r>
            <w:r>
              <w:rPr>
                <w:rFonts w:ascii="Times New Roman" w:eastAsia="Times New Roman"/>
                <w:sz w:val="21"/>
                <w:vertAlign w:val="baseline"/>
              </w:rPr>
              <w:t>4 </w:t>
            </w:r>
            <w:r>
              <w:rPr>
                <w:sz w:val="21"/>
                <w:vertAlign w:val="baseline"/>
              </w:rPr>
              <w:t>小时，</w:t>
            </w:r>
            <w:r>
              <w:rPr>
                <w:rFonts w:ascii="Times New Roman" w:eastAsia="Times New Roman"/>
                <w:sz w:val="21"/>
                <w:vertAlign w:val="baseline"/>
              </w:rPr>
              <w:t>(</w:t>
            </w:r>
            <w:r>
              <w:rPr>
                <w:sz w:val="21"/>
                <w:vertAlign w:val="baseline"/>
              </w:rPr>
              <w:t>大鼠吸入</w:t>
            </w:r>
            <w:r>
              <w:rPr>
                <w:rFonts w:ascii="Times New Roman" w:eastAsia="Times New Roman"/>
                <w:sz w:val="21"/>
                <w:vertAlign w:val="baseline"/>
              </w:rPr>
              <w:t>)</w:t>
            </w:r>
            <w:r>
              <w:rPr>
                <w:sz w:val="21"/>
                <w:vertAlign w:val="baseline"/>
              </w:rPr>
              <w:t>。刺激性：家兔经眼：</w:t>
            </w:r>
            <w:r>
              <w:rPr>
                <w:rFonts w:ascii="Times New Roman" w:eastAsia="Times New Roman"/>
                <w:sz w:val="21"/>
                <w:vertAlign w:val="baseline"/>
              </w:rPr>
              <w:t>100ppm</w:t>
            </w:r>
            <w:r>
              <w:rPr>
                <w:sz w:val="21"/>
                <w:vertAlign w:val="baseline"/>
              </w:rPr>
              <w:t>，重度刺激。</w:t>
            </w:r>
          </w:p>
          <w:p>
            <w:pPr>
              <w:pStyle w:val="TableParagraph"/>
              <w:spacing w:line="242" w:lineRule="auto" w:before="2"/>
              <w:ind w:left="590" w:right="28"/>
              <w:jc w:val="left"/>
              <w:rPr>
                <w:sz w:val="21"/>
              </w:rPr>
            </w:pPr>
            <w:r>
              <w:rPr>
                <w:sz w:val="21"/>
              </w:rPr>
              <w:t>亚急性慢性毒性：大鼠，</w:t>
            </w:r>
            <w:r>
              <w:rPr>
                <w:rFonts w:ascii="Times New Roman" w:eastAsia="Times New Roman"/>
                <w:sz w:val="21"/>
              </w:rPr>
              <w:t>20mg/m</w:t>
            </w:r>
            <w:r>
              <w:rPr>
                <w:rFonts w:ascii="Times New Roman" w:eastAsia="Times New Roman"/>
                <w:sz w:val="21"/>
                <w:vertAlign w:val="superscript"/>
              </w:rPr>
              <w:t>3</w:t>
            </w:r>
            <w:r>
              <w:rPr>
                <w:sz w:val="21"/>
                <w:vertAlign w:val="baseline"/>
              </w:rPr>
              <w:t>，</w:t>
            </w:r>
            <w:r>
              <w:rPr>
                <w:rFonts w:ascii="Times New Roman" w:eastAsia="Times New Roman"/>
                <w:sz w:val="21"/>
                <w:vertAlign w:val="baseline"/>
              </w:rPr>
              <w:t>24 </w:t>
            </w:r>
            <w:r>
              <w:rPr>
                <w:sz w:val="21"/>
                <w:vertAlign w:val="baseline"/>
              </w:rPr>
              <w:t>小时</w:t>
            </w:r>
            <w:r>
              <w:rPr>
                <w:rFonts w:ascii="Times New Roman" w:eastAsia="Times New Roman"/>
                <w:sz w:val="21"/>
                <w:vertAlign w:val="baseline"/>
              </w:rPr>
              <w:t>/</w:t>
            </w:r>
            <w:r>
              <w:rPr>
                <w:sz w:val="21"/>
                <w:vertAlign w:val="baseline"/>
              </w:rPr>
              <w:t>天，</w:t>
            </w:r>
            <w:r>
              <w:rPr>
                <w:rFonts w:ascii="Times New Roman" w:eastAsia="Times New Roman"/>
                <w:sz w:val="21"/>
                <w:vertAlign w:val="baseline"/>
              </w:rPr>
              <w:t>84 </w:t>
            </w:r>
            <w:r>
              <w:rPr>
                <w:sz w:val="21"/>
                <w:vertAlign w:val="baseline"/>
              </w:rPr>
              <w:t>天，或 </w:t>
            </w:r>
            <w:r>
              <w:rPr>
                <w:rFonts w:ascii="Times New Roman" w:eastAsia="Times New Roman"/>
                <w:sz w:val="21"/>
                <w:vertAlign w:val="baseline"/>
              </w:rPr>
              <w:t>5</w:t>
            </w:r>
            <w:r>
              <w:rPr>
                <w:sz w:val="21"/>
                <w:vertAlign w:val="baseline"/>
              </w:rPr>
              <w:t>～</w:t>
            </w:r>
            <w:r>
              <w:rPr>
                <w:rFonts w:ascii="Times New Roman" w:eastAsia="Times New Roman"/>
                <w:sz w:val="21"/>
                <w:vertAlign w:val="baseline"/>
              </w:rPr>
              <w:t>6 </w:t>
            </w:r>
            <w:r>
              <w:rPr>
                <w:sz w:val="21"/>
                <w:vertAlign w:val="baseline"/>
              </w:rPr>
              <w:t>小时</w:t>
            </w:r>
            <w:r>
              <w:rPr>
                <w:rFonts w:ascii="Times New Roman" w:eastAsia="Times New Roman"/>
                <w:sz w:val="21"/>
                <w:vertAlign w:val="baseline"/>
              </w:rPr>
              <w:t>/</w:t>
            </w:r>
            <w:r>
              <w:rPr>
                <w:sz w:val="21"/>
                <w:vertAlign w:val="baseline"/>
              </w:rPr>
              <w:t>天，</w:t>
            </w:r>
            <w:r>
              <w:rPr>
                <w:rFonts w:ascii="Times New Roman" w:eastAsia="Times New Roman"/>
                <w:sz w:val="21"/>
                <w:vertAlign w:val="baseline"/>
              </w:rPr>
              <w:t>7 </w:t>
            </w:r>
            <w:r>
              <w:rPr>
                <w:sz w:val="21"/>
                <w:vertAlign w:val="baseline"/>
              </w:rPr>
              <w:t>个月，出现神经系统功能紊乱，血胆碱酯酶活性抑制等。</w:t>
            </w:r>
          </w:p>
          <w:p>
            <w:pPr>
              <w:pStyle w:val="TableParagraph"/>
              <w:spacing w:before="1"/>
              <w:ind w:left="590"/>
              <w:jc w:val="left"/>
              <w:rPr>
                <w:sz w:val="21"/>
              </w:rPr>
            </w:pPr>
            <w:r>
              <w:rPr>
                <w:sz w:val="21"/>
              </w:rPr>
              <w:t>致突变性：微生物致突变性：大肠杆菌 </w:t>
            </w:r>
            <w:r>
              <w:rPr>
                <w:rFonts w:ascii="Times New Roman" w:eastAsia="Times New Roman"/>
                <w:sz w:val="21"/>
              </w:rPr>
              <w:t>1500ppm(3 </w:t>
            </w:r>
            <w:r>
              <w:rPr>
                <w:sz w:val="21"/>
              </w:rPr>
              <w:t>小时</w:t>
            </w:r>
            <w:r>
              <w:rPr>
                <w:rFonts w:ascii="Times New Roman" w:eastAsia="Times New Roman"/>
                <w:sz w:val="21"/>
              </w:rPr>
              <w:t>)</w:t>
            </w:r>
            <w:r>
              <w:rPr>
                <w:sz w:val="21"/>
              </w:rPr>
              <w:t>。细胞遗传学分析：大鼠吸入</w:t>
            </w:r>
          </w:p>
          <w:p>
            <w:pPr>
              <w:pStyle w:val="TableParagraph"/>
              <w:spacing w:line="252" w:lineRule="exact" w:before="2"/>
              <w:ind w:left="590"/>
              <w:jc w:val="left"/>
              <w:rPr>
                <w:sz w:val="21"/>
              </w:rPr>
            </w:pPr>
            <w:r>
              <w:rPr>
                <w:rFonts w:ascii="Times New Roman" w:hAnsi="Times New Roman" w:eastAsia="Times New Roman"/>
                <w:sz w:val="21"/>
              </w:rPr>
              <w:t>19800µg/m</w:t>
            </w:r>
            <w:r>
              <w:rPr>
                <w:rFonts w:ascii="Times New Roman" w:hAnsi="Times New Roman" w:eastAsia="Times New Roman"/>
                <w:sz w:val="21"/>
                <w:vertAlign w:val="superscript"/>
              </w:rPr>
              <w:t>3</w:t>
            </w:r>
            <w:r>
              <w:rPr>
                <w:sz w:val="21"/>
                <w:vertAlign w:val="baseline"/>
              </w:rPr>
              <w:t>，</w:t>
            </w:r>
            <w:r>
              <w:rPr>
                <w:rFonts w:ascii="Times New Roman" w:hAnsi="Times New Roman" w:eastAsia="Times New Roman"/>
                <w:sz w:val="21"/>
                <w:vertAlign w:val="baseline"/>
              </w:rPr>
              <w:t>16 </w:t>
            </w:r>
            <w:r>
              <w:rPr>
                <w:sz w:val="21"/>
                <w:vertAlign w:val="baseline"/>
              </w:rPr>
              <w:t>周</w:t>
            </w:r>
          </w:p>
        </w:tc>
      </w:tr>
      <w:tr>
        <w:trPr>
          <w:trHeight w:val="817" w:hRule="atLeast"/>
        </w:trPr>
        <w:tc>
          <w:tcPr>
            <w:tcW w:w="9091" w:type="dxa"/>
            <w:tcBorders>
              <w:top w:val="single" w:sz="6" w:space="0" w:color="000000"/>
            </w:tcBorders>
          </w:tcPr>
          <w:p>
            <w:pPr>
              <w:pStyle w:val="TableParagraph"/>
              <w:spacing w:before="1"/>
              <w:ind w:left="107"/>
              <w:jc w:val="left"/>
              <w:rPr>
                <w:b/>
                <w:sz w:val="21"/>
              </w:rPr>
            </w:pPr>
            <w:r>
              <w:rPr>
                <w:b/>
                <w:sz w:val="21"/>
              </w:rPr>
              <w:t>运输信息</w:t>
            </w:r>
          </w:p>
          <w:p>
            <w:pPr>
              <w:pStyle w:val="TableParagraph"/>
              <w:spacing w:before="4"/>
              <w:ind w:left="527"/>
              <w:jc w:val="left"/>
              <w:rPr>
                <w:sz w:val="21"/>
              </w:rPr>
            </w:pPr>
            <w:r>
              <w:rPr>
                <w:sz w:val="21"/>
              </w:rPr>
              <w:t>包装方法：钢质气瓶</w:t>
            </w:r>
          </w:p>
          <w:p>
            <w:pPr>
              <w:pStyle w:val="TableParagraph"/>
              <w:spacing w:line="252" w:lineRule="exact" w:before="2"/>
              <w:ind w:left="527"/>
              <w:jc w:val="left"/>
              <w:rPr>
                <w:sz w:val="21"/>
              </w:rPr>
            </w:pPr>
            <w:r>
              <w:rPr>
                <w:sz w:val="21"/>
              </w:rPr>
              <w:t>运输注意事项：本品铁路运输时限使用耐压液化气企业自备罐车</w:t>
            </w:r>
          </w:p>
        </w:tc>
      </w:tr>
    </w:tbl>
    <w:p>
      <w:pPr>
        <w:spacing w:after="0" w:line="252" w:lineRule="exact"/>
        <w:jc w:val="left"/>
        <w:rPr>
          <w:sz w:val="21"/>
        </w:rPr>
        <w:sectPr>
          <w:pgSz w:w="11910" w:h="16840"/>
          <w:pgMar w:header="0" w:footer="952" w:top="1580" w:bottom="1140" w:left="1240" w:right="1240"/>
        </w:sectPr>
      </w:pPr>
    </w:p>
    <w:p>
      <w:pPr>
        <w:tabs>
          <w:tab w:pos="1339" w:val="left" w:leader="none"/>
        </w:tabs>
        <w:spacing w:before="102"/>
        <w:ind w:left="0" w:right="1" w:firstLine="0"/>
        <w:jc w:val="center"/>
        <w:rPr>
          <w:b/>
          <w:sz w:val="28"/>
        </w:rPr>
      </w:pPr>
      <w:r>
        <w:rPr>
          <w:b/>
          <w:sz w:val="28"/>
        </w:rPr>
        <w:t>表</w:t>
      </w:r>
      <w:r>
        <w:rPr>
          <w:b/>
          <w:spacing w:val="-70"/>
          <w:sz w:val="28"/>
        </w:rPr>
        <w:t> </w:t>
      </w:r>
      <w:r>
        <w:rPr>
          <w:b/>
          <w:sz w:val="28"/>
        </w:rPr>
        <w:t>3-1-4</w:t>
        <w:tab/>
        <w:t>氢氧化钠的理化性质及危险特性表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815"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tabs>
                <w:tab w:pos="2776" w:val="left" w:leader="none"/>
                <w:tab w:pos="5025" w:val="left" w:leader="none"/>
                <w:tab w:pos="8022" w:val="left" w:leader="none"/>
              </w:tabs>
              <w:spacing w:before="2"/>
              <w:ind w:left="527"/>
              <w:jc w:val="left"/>
              <w:rPr>
                <w:sz w:val="21"/>
              </w:rPr>
            </w:pPr>
            <w:r>
              <w:rPr>
                <w:spacing w:val="12"/>
                <w:sz w:val="21"/>
              </w:rPr>
              <w:t>中文</w:t>
            </w:r>
            <w:r>
              <w:rPr>
                <w:spacing w:val="14"/>
                <w:sz w:val="21"/>
              </w:rPr>
              <w:t>名</w:t>
            </w:r>
            <w:r>
              <w:rPr>
                <w:spacing w:val="12"/>
                <w:sz w:val="21"/>
              </w:rPr>
              <w:t>称：氢氧化</w:t>
            </w:r>
            <w:r>
              <w:rPr>
                <w:sz w:val="21"/>
              </w:rPr>
              <w:t>钠</w:t>
              <w:tab/>
            </w:r>
            <w:r>
              <w:rPr>
                <w:spacing w:val="12"/>
                <w:sz w:val="21"/>
              </w:rPr>
              <w:t>烧碱</w:t>
            </w:r>
            <w:r>
              <w:rPr>
                <w:spacing w:val="14"/>
                <w:sz w:val="21"/>
              </w:rPr>
              <w:t>；</w:t>
            </w:r>
            <w:r>
              <w:rPr>
                <w:spacing w:val="12"/>
                <w:sz w:val="21"/>
              </w:rPr>
              <w:t>火碱；苛性</w:t>
            </w:r>
            <w:r>
              <w:rPr>
                <w:sz w:val="21"/>
              </w:rPr>
              <w:t>钠</w:t>
              <w:tab/>
            </w:r>
            <w:r>
              <w:rPr>
                <w:spacing w:val="12"/>
                <w:sz w:val="21"/>
              </w:rPr>
              <w:t>英文</w:t>
            </w:r>
            <w:r>
              <w:rPr>
                <w:spacing w:val="14"/>
                <w:sz w:val="21"/>
              </w:rPr>
              <w:t>名</w:t>
            </w:r>
            <w:r>
              <w:rPr>
                <w:spacing w:val="12"/>
                <w:sz w:val="21"/>
              </w:rPr>
              <w:t>称</w:t>
            </w:r>
            <w:r>
              <w:rPr>
                <w:sz w:val="21"/>
              </w:rPr>
              <w:t>：</w:t>
            </w:r>
            <w:r>
              <w:rPr>
                <w:rFonts w:ascii="Times New Roman" w:eastAsia="Times New Roman"/>
                <w:sz w:val="21"/>
              </w:rPr>
              <w:t>sodium hydroxide</w:t>
              <w:tab/>
              <w:t>CAS</w:t>
            </w:r>
            <w:r>
              <w:rPr>
                <w:rFonts w:ascii="Times New Roman" w:eastAsia="Times New Roman"/>
                <w:spacing w:val="15"/>
                <w:sz w:val="21"/>
              </w:rPr>
              <w:t> </w:t>
            </w:r>
            <w:r>
              <w:rPr>
                <w:spacing w:val="12"/>
                <w:sz w:val="21"/>
              </w:rPr>
              <w:t>号</w:t>
            </w:r>
            <w:r>
              <w:rPr>
                <w:sz w:val="21"/>
              </w:rPr>
              <w:t>：</w:t>
            </w:r>
          </w:p>
          <w:p>
            <w:pPr>
              <w:pStyle w:val="TableParagraph"/>
              <w:tabs>
                <w:tab w:pos="1192" w:val="left" w:leader="none"/>
                <w:tab w:pos="3283" w:val="left" w:leader="none"/>
                <w:tab w:pos="4910" w:val="left" w:leader="none"/>
              </w:tabs>
              <w:spacing w:line="250" w:lineRule="exact" w:before="4"/>
              <w:ind w:left="107"/>
              <w:jc w:val="left"/>
              <w:rPr>
                <w:sz w:val="21"/>
              </w:rPr>
            </w:pPr>
            <w:r>
              <w:rPr>
                <w:rFonts w:ascii="Times New Roman" w:eastAsia="Times New Roman"/>
                <w:sz w:val="21"/>
              </w:rPr>
              <w:t>1310-73-2</w:t>
              <w:tab/>
            </w:r>
            <w:r>
              <w:rPr>
                <w:sz w:val="21"/>
              </w:rPr>
              <w:t>分子</w:t>
            </w:r>
            <w:r>
              <w:rPr>
                <w:spacing w:val="-3"/>
                <w:sz w:val="21"/>
              </w:rPr>
              <w:t>式</w:t>
            </w:r>
            <w:r>
              <w:rPr>
                <w:sz w:val="21"/>
              </w:rPr>
              <w:t>：</w:t>
            </w:r>
            <w:r>
              <w:rPr>
                <w:rFonts w:ascii="Times New Roman" w:eastAsia="Times New Roman"/>
                <w:sz w:val="21"/>
              </w:rPr>
              <w:t>NaOH</w:t>
              <w:tab/>
            </w:r>
            <w:r>
              <w:rPr>
                <w:sz w:val="21"/>
              </w:rPr>
              <w:t>分</w:t>
            </w:r>
            <w:r>
              <w:rPr>
                <w:spacing w:val="-3"/>
                <w:sz w:val="21"/>
              </w:rPr>
              <w:t>子</w:t>
            </w:r>
            <w:r>
              <w:rPr>
                <w:sz w:val="21"/>
              </w:rPr>
              <w:t>量：</w:t>
            </w:r>
            <w:r>
              <w:rPr>
                <w:rFonts w:ascii="Times New Roman" w:eastAsia="Times New Roman"/>
                <w:sz w:val="21"/>
              </w:rPr>
              <w:t>40.01</w:t>
              <w:tab/>
            </w:r>
            <w:r>
              <w:rPr>
                <w:sz w:val="21"/>
              </w:rPr>
              <w:t>危</w:t>
            </w:r>
            <w:r>
              <w:rPr>
                <w:spacing w:val="-3"/>
                <w:sz w:val="21"/>
              </w:rPr>
              <w:t>险</w:t>
            </w:r>
            <w:r>
              <w:rPr>
                <w:sz w:val="21"/>
              </w:rPr>
              <w:t>性</w:t>
            </w:r>
            <w:r>
              <w:rPr>
                <w:spacing w:val="-3"/>
                <w:sz w:val="21"/>
              </w:rPr>
              <w:t>类</w:t>
            </w:r>
            <w:r>
              <w:rPr>
                <w:sz w:val="21"/>
              </w:rPr>
              <w:t>别</w:t>
            </w:r>
            <w:r>
              <w:rPr>
                <w:spacing w:val="-3"/>
                <w:sz w:val="21"/>
              </w:rPr>
              <w:t>：</w:t>
            </w:r>
            <w:r>
              <w:rPr>
                <w:sz w:val="21"/>
              </w:rPr>
              <w:t>第</w:t>
            </w:r>
            <w:r>
              <w:rPr>
                <w:spacing w:val="-53"/>
                <w:sz w:val="21"/>
              </w:rPr>
              <w:t> </w:t>
            </w:r>
            <w:r>
              <w:rPr>
                <w:rFonts w:ascii="Times New Roman" w:eastAsia="Times New Roman"/>
                <w:sz w:val="21"/>
              </w:rPr>
              <w:t>8.2</w:t>
            </w:r>
            <w:r>
              <w:rPr>
                <w:rFonts w:ascii="Times New Roman" w:eastAsia="Times New Roman"/>
                <w:spacing w:val="-2"/>
                <w:sz w:val="21"/>
              </w:rPr>
              <w:t> </w:t>
            </w:r>
            <w:r>
              <w:rPr>
                <w:spacing w:val="-3"/>
                <w:sz w:val="21"/>
              </w:rPr>
              <w:t>类碱</w:t>
            </w:r>
            <w:r>
              <w:rPr>
                <w:sz w:val="21"/>
              </w:rPr>
              <w:t>性腐</w:t>
            </w:r>
            <w:r>
              <w:rPr>
                <w:spacing w:val="-3"/>
                <w:sz w:val="21"/>
              </w:rPr>
              <w:t>蚀</w:t>
            </w:r>
            <w:r>
              <w:rPr>
                <w:sz w:val="21"/>
              </w:rPr>
              <w:t>品</w:t>
            </w:r>
          </w:p>
        </w:tc>
      </w:tr>
      <w:tr>
        <w:trPr>
          <w:trHeight w:val="1907"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line="242" w:lineRule="auto" w:before="4"/>
              <w:ind w:left="107" w:right="93" w:firstLine="419"/>
              <w:jc w:val="left"/>
              <w:rPr>
                <w:sz w:val="21"/>
              </w:rPr>
            </w:pPr>
            <w:r>
              <w:rPr>
                <w:sz w:val="21"/>
              </w:rPr>
              <w:t>物理和化学危险性：在潮湿空气中，腐蚀金属锌、铝、锡和铅，生成易燃易爆的氢气。与铵盐反应生成氨，有着火和爆炸的危险。</w:t>
            </w:r>
          </w:p>
          <w:p>
            <w:pPr>
              <w:pStyle w:val="TableParagraph"/>
              <w:spacing w:before="1"/>
              <w:ind w:left="527"/>
              <w:jc w:val="left"/>
              <w:rPr>
                <w:sz w:val="21"/>
              </w:rPr>
            </w:pPr>
            <w:r>
              <w:rPr>
                <w:sz w:val="21"/>
              </w:rPr>
              <w:t>侵入途径：吸入、食入、皮肤接触。</w:t>
            </w:r>
          </w:p>
          <w:p>
            <w:pPr>
              <w:pStyle w:val="TableParagraph"/>
              <w:spacing w:line="244" w:lineRule="auto" w:before="3"/>
              <w:ind w:left="107" w:right="93" w:firstLine="419"/>
              <w:jc w:val="left"/>
              <w:rPr>
                <w:sz w:val="21"/>
              </w:rPr>
            </w:pPr>
            <w:r>
              <w:rPr>
                <w:sz w:val="21"/>
              </w:rPr>
              <w:t>健康危害：本品具有强烈腐蚀性和刺激性。粉尘刺激眼和呼吸道，腐蚀鼻中隔；直接接触皮肤和眼可引起灼伤；误食可造成消化道灼伤，粘膜糜烂、出血和休克。</w:t>
            </w:r>
          </w:p>
          <w:p>
            <w:pPr>
              <w:pStyle w:val="TableParagraph"/>
              <w:spacing w:line="248" w:lineRule="exact"/>
              <w:ind w:left="527"/>
              <w:jc w:val="left"/>
              <w:rPr>
                <w:sz w:val="21"/>
              </w:rPr>
            </w:pPr>
            <w:r>
              <w:rPr>
                <w:sz w:val="21"/>
              </w:rPr>
              <w:t>环境危害：对环境有害，对水体可造成污染</w:t>
            </w:r>
          </w:p>
        </w:tc>
      </w:tr>
      <w:tr>
        <w:trPr>
          <w:trHeight w:val="1362"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急救措施：</w:t>
            </w:r>
          </w:p>
          <w:p>
            <w:pPr>
              <w:pStyle w:val="TableParagraph"/>
              <w:spacing w:before="3"/>
              <w:ind w:left="527"/>
              <w:jc w:val="left"/>
              <w:rPr>
                <w:sz w:val="21"/>
              </w:rPr>
            </w:pPr>
            <w:r>
              <w:rPr>
                <w:sz w:val="21"/>
              </w:rPr>
              <w:t>皮肤接触：立即脱去污染的衣着，用大量流动清水冲洗至少 </w:t>
            </w:r>
            <w:r>
              <w:rPr>
                <w:rFonts w:ascii="Times New Roman" w:eastAsia="Times New Roman"/>
                <w:sz w:val="21"/>
              </w:rPr>
              <w:t>15 </w:t>
            </w:r>
            <w:r>
              <w:rPr>
                <w:sz w:val="21"/>
              </w:rPr>
              <w:t>分钟；就医。</w:t>
            </w:r>
          </w:p>
          <w:p>
            <w:pPr>
              <w:pStyle w:val="TableParagraph"/>
              <w:spacing w:before="4"/>
              <w:ind w:left="527"/>
              <w:jc w:val="left"/>
              <w:rPr>
                <w:sz w:val="21"/>
              </w:rPr>
            </w:pPr>
            <w:r>
              <w:rPr>
                <w:sz w:val="21"/>
              </w:rPr>
              <w:t>眼睛接触：立即提起眼睑，用大量流动清水或生理盐水彻底冲洗至少 </w:t>
            </w:r>
            <w:r>
              <w:rPr>
                <w:rFonts w:ascii="Times New Roman" w:eastAsia="Times New Roman"/>
                <w:sz w:val="21"/>
              </w:rPr>
              <w:t>15 </w:t>
            </w:r>
            <w:r>
              <w:rPr>
                <w:sz w:val="21"/>
              </w:rPr>
              <w:t>分钟；就医。</w:t>
            </w:r>
          </w:p>
          <w:p>
            <w:pPr>
              <w:pStyle w:val="TableParagraph"/>
              <w:spacing w:before="2"/>
              <w:ind w:left="527" w:right="-15"/>
              <w:jc w:val="left"/>
              <w:rPr>
                <w:sz w:val="21"/>
              </w:rPr>
            </w:pPr>
            <w:r>
              <w:rPr>
                <w:spacing w:val="-7"/>
                <w:sz w:val="21"/>
              </w:rPr>
              <w:t>吸入： 迅速脱离现场至空气新鲜处，保持呼吸道通畅，如呼吸困难，给输氧，如呼吸停止，</w:t>
            </w:r>
          </w:p>
          <w:p>
            <w:pPr>
              <w:pStyle w:val="TableParagraph"/>
              <w:tabs>
                <w:tab w:pos="3628" w:val="left" w:leader="none"/>
              </w:tabs>
              <w:spacing w:line="252" w:lineRule="exact" w:before="5"/>
              <w:ind w:left="107"/>
              <w:jc w:val="left"/>
              <w:rPr>
                <w:sz w:val="21"/>
              </w:rPr>
            </w:pPr>
            <w:r>
              <w:rPr>
                <w:sz w:val="21"/>
              </w:rPr>
              <w:t>立即</w:t>
            </w:r>
            <w:r>
              <w:rPr>
                <w:spacing w:val="-3"/>
                <w:sz w:val="21"/>
              </w:rPr>
              <w:t>进</w:t>
            </w:r>
            <w:r>
              <w:rPr>
                <w:sz w:val="21"/>
              </w:rPr>
              <w:t>行</w:t>
            </w:r>
            <w:r>
              <w:rPr>
                <w:spacing w:val="-3"/>
                <w:sz w:val="21"/>
              </w:rPr>
              <w:t>人</w:t>
            </w:r>
            <w:r>
              <w:rPr>
                <w:sz w:val="21"/>
              </w:rPr>
              <w:t>工</w:t>
            </w:r>
            <w:r>
              <w:rPr>
                <w:spacing w:val="-3"/>
                <w:sz w:val="21"/>
              </w:rPr>
              <w:t>呼</w:t>
            </w:r>
            <w:r>
              <w:rPr>
                <w:sz w:val="21"/>
              </w:rPr>
              <w:t>吸</w:t>
            </w:r>
            <w:r>
              <w:rPr>
                <w:spacing w:val="-3"/>
                <w:sz w:val="21"/>
              </w:rPr>
              <w:t>；</w:t>
            </w:r>
            <w:r>
              <w:rPr>
                <w:sz w:val="21"/>
              </w:rPr>
              <w:t>就</w:t>
            </w:r>
            <w:r>
              <w:rPr>
                <w:spacing w:val="-3"/>
                <w:sz w:val="21"/>
              </w:rPr>
              <w:t>医</w:t>
            </w:r>
            <w:r>
              <w:rPr>
                <w:sz w:val="21"/>
              </w:rPr>
              <w:t>。</w:t>
            </w:r>
            <w:r>
              <w:rPr>
                <w:spacing w:val="62"/>
                <w:sz w:val="21"/>
              </w:rPr>
              <w:t> </w:t>
            </w:r>
            <w:r>
              <w:rPr>
                <w:spacing w:val="-3"/>
                <w:sz w:val="21"/>
              </w:rPr>
              <w:t>食</w:t>
            </w:r>
            <w:r>
              <w:rPr>
                <w:sz w:val="21"/>
              </w:rPr>
              <w:t>入：</w:t>
              <w:tab/>
            </w:r>
            <w:r>
              <w:rPr>
                <w:spacing w:val="-3"/>
                <w:sz w:val="21"/>
              </w:rPr>
              <w:t>用</w:t>
            </w:r>
            <w:r>
              <w:rPr>
                <w:sz w:val="21"/>
              </w:rPr>
              <w:t>水</w:t>
            </w:r>
            <w:r>
              <w:rPr>
                <w:spacing w:val="-3"/>
                <w:sz w:val="21"/>
              </w:rPr>
              <w:t>漱</w:t>
            </w:r>
            <w:r>
              <w:rPr>
                <w:sz w:val="21"/>
              </w:rPr>
              <w:t>口</w:t>
            </w:r>
            <w:r>
              <w:rPr>
                <w:spacing w:val="-3"/>
                <w:sz w:val="21"/>
              </w:rPr>
              <w:t>，</w:t>
            </w:r>
            <w:r>
              <w:rPr>
                <w:sz w:val="21"/>
              </w:rPr>
              <w:t>给饮</w:t>
            </w:r>
            <w:r>
              <w:rPr>
                <w:spacing w:val="-3"/>
                <w:sz w:val="21"/>
              </w:rPr>
              <w:t>牛</w:t>
            </w:r>
            <w:r>
              <w:rPr>
                <w:sz w:val="21"/>
              </w:rPr>
              <w:t>奶</w:t>
            </w:r>
            <w:r>
              <w:rPr>
                <w:spacing w:val="-3"/>
                <w:sz w:val="21"/>
              </w:rPr>
              <w:t>或</w:t>
            </w:r>
            <w:r>
              <w:rPr>
                <w:sz w:val="21"/>
              </w:rPr>
              <w:t>蛋</w:t>
            </w:r>
            <w:r>
              <w:rPr>
                <w:spacing w:val="-3"/>
                <w:sz w:val="21"/>
              </w:rPr>
              <w:t>清</w:t>
            </w:r>
            <w:r>
              <w:rPr>
                <w:sz w:val="21"/>
              </w:rPr>
              <w:t>，</w:t>
            </w:r>
            <w:r>
              <w:rPr>
                <w:spacing w:val="-3"/>
                <w:sz w:val="21"/>
              </w:rPr>
              <w:t>就</w:t>
            </w:r>
            <w:r>
              <w:rPr>
                <w:sz w:val="21"/>
              </w:rPr>
              <w:t>医</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消防措施</w:t>
            </w:r>
          </w:p>
          <w:p>
            <w:pPr>
              <w:pStyle w:val="TableParagraph"/>
              <w:tabs>
                <w:tab w:pos="1843" w:val="left" w:leader="none"/>
              </w:tabs>
              <w:spacing w:line="242" w:lineRule="auto" w:before="2"/>
              <w:ind w:left="107" w:right="90" w:firstLine="419"/>
              <w:jc w:val="left"/>
              <w:rPr>
                <w:sz w:val="21"/>
              </w:rPr>
            </w:pPr>
            <w:r>
              <w:rPr>
                <w:sz w:val="21"/>
              </w:rPr>
              <w:t>危险</w:t>
            </w:r>
            <w:r>
              <w:rPr>
                <w:spacing w:val="-3"/>
                <w:sz w:val="21"/>
              </w:rPr>
              <w:t>特</w:t>
            </w:r>
            <w:r>
              <w:rPr>
                <w:sz w:val="21"/>
              </w:rPr>
              <w:t>性：</w:t>
              <w:tab/>
            </w:r>
            <w:r>
              <w:rPr>
                <w:spacing w:val="-3"/>
                <w:sz w:val="21"/>
              </w:rPr>
              <w:t>与</w:t>
            </w:r>
            <w:r>
              <w:rPr>
                <w:sz w:val="21"/>
              </w:rPr>
              <w:t>酸</w:t>
            </w:r>
            <w:r>
              <w:rPr>
                <w:spacing w:val="-3"/>
                <w:sz w:val="21"/>
              </w:rPr>
              <w:t>发</w:t>
            </w:r>
            <w:r>
              <w:rPr>
                <w:sz w:val="21"/>
              </w:rPr>
              <w:t>生</w:t>
            </w:r>
            <w:r>
              <w:rPr>
                <w:spacing w:val="-3"/>
                <w:sz w:val="21"/>
              </w:rPr>
              <w:t>中</w:t>
            </w:r>
            <w:r>
              <w:rPr>
                <w:sz w:val="21"/>
              </w:rPr>
              <w:t>和反</w:t>
            </w:r>
            <w:r>
              <w:rPr>
                <w:spacing w:val="-3"/>
                <w:sz w:val="21"/>
              </w:rPr>
              <w:t>应</w:t>
            </w:r>
            <w:r>
              <w:rPr>
                <w:sz w:val="21"/>
              </w:rPr>
              <w:t>并</w:t>
            </w:r>
            <w:r>
              <w:rPr>
                <w:spacing w:val="-3"/>
                <w:sz w:val="21"/>
              </w:rPr>
              <w:t>放</w:t>
            </w:r>
            <w:r>
              <w:rPr>
                <w:sz w:val="21"/>
              </w:rPr>
              <w:t>热</w:t>
            </w:r>
            <w:r>
              <w:rPr>
                <w:spacing w:val="-3"/>
                <w:sz w:val="21"/>
              </w:rPr>
              <w:t>，</w:t>
            </w:r>
            <w:r>
              <w:rPr>
                <w:sz w:val="21"/>
              </w:rPr>
              <w:t>遇</w:t>
            </w:r>
            <w:r>
              <w:rPr>
                <w:spacing w:val="-3"/>
                <w:sz w:val="21"/>
              </w:rPr>
              <w:t>潮</w:t>
            </w:r>
            <w:r>
              <w:rPr>
                <w:sz w:val="21"/>
              </w:rPr>
              <w:t>时</w:t>
            </w:r>
            <w:r>
              <w:rPr>
                <w:spacing w:val="-3"/>
                <w:sz w:val="21"/>
              </w:rPr>
              <w:t>对</w:t>
            </w:r>
            <w:r>
              <w:rPr>
                <w:sz w:val="21"/>
              </w:rPr>
              <w:t>铝、</w:t>
            </w:r>
            <w:r>
              <w:rPr>
                <w:spacing w:val="-3"/>
                <w:sz w:val="21"/>
              </w:rPr>
              <w:t>锌</w:t>
            </w:r>
            <w:r>
              <w:rPr>
                <w:sz w:val="21"/>
              </w:rPr>
              <w:t>和</w:t>
            </w:r>
            <w:r>
              <w:rPr>
                <w:spacing w:val="-3"/>
                <w:sz w:val="21"/>
              </w:rPr>
              <w:t>锡</w:t>
            </w:r>
            <w:r>
              <w:rPr>
                <w:sz w:val="21"/>
              </w:rPr>
              <w:t>有</w:t>
            </w:r>
            <w:r>
              <w:rPr>
                <w:spacing w:val="-3"/>
                <w:sz w:val="21"/>
              </w:rPr>
              <w:t>腐</w:t>
            </w:r>
            <w:r>
              <w:rPr>
                <w:sz w:val="21"/>
              </w:rPr>
              <w:t>蚀</w:t>
            </w:r>
            <w:r>
              <w:rPr>
                <w:spacing w:val="-3"/>
                <w:sz w:val="21"/>
              </w:rPr>
              <w:t>性</w:t>
            </w:r>
            <w:r>
              <w:rPr>
                <w:sz w:val="21"/>
              </w:rPr>
              <w:t>，</w:t>
            </w:r>
            <w:r>
              <w:rPr>
                <w:spacing w:val="-3"/>
                <w:sz w:val="21"/>
              </w:rPr>
              <w:t>并</w:t>
            </w:r>
            <w:r>
              <w:rPr>
                <w:sz w:val="21"/>
              </w:rPr>
              <w:t>放出</w:t>
            </w:r>
            <w:r>
              <w:rPr>
                <w:spacing w:val="-3"/>
                <w:sz w:val="21"/>
              </w:rPr>
              <w:t>易</w:t>
            </w:r>
            <w:r>
              <w:rPr>
                <w:sz w:val="21"/>
              </w:rPr>
              <w:t>燃</w:t>
            </w:r>
            <w:r>
              <w:rPr>
                <w:spacing w:val="-3"/>
                <w:sz w:val="21"/>
              </w:rPr>
              <w:t>易</w:t>
            </w:r>
            <w:r>
              <w:rPr>
                <w:sz w:val="21"/>
              </w:rPr>
              <w:t>爆的氢气</w:t>
            </w:r>
            <w:r>
              <w:rPr>
                <w:spacing w:val="-3"/>
                <w:sz w:val="21"/>
              </w:rPr>
              <w:t>，</w:t>
            </w:r>
            <w:r>
              <w:rPr>
                <w:sz w:val="21"/>
              </w:rPr>
              <w:t>本</w:t>
            </w:r>
            <w:r>
              <w:rPr>
                <w:spacing w:val="-3"/>
                <w:sz w:val="21"/>
              </w:rPr>
              <w:t>品</w:t>
            </w:r>
            <w:r>
              <w:rPr>
                <w:sz w:val="21"/>
              </w:rPr>
              <w:t>不</w:t>
            </w:r>
            <w:r>
              <w:rPr>
                <w:spacing w:val="-3"/>
                <w:sz w:val="21"/>
              </w:rPr>
              <w:t>会</w:t>
            </w:r>
            <w:r>
              <w:rPr>
                <w:sz w:val="21"/>
              </w:rPr>
              <w:t>燃</w:t>
            </w:r>
            <w:r>
              <w:rPr>
                <w:spacing w:val="-3"/>
                <w:sz w:val="21"/>
              </w:rPr>
              <w:t>烧</w:t>
            </w:r>
            <w:r>
              <w:rPr>
                <w:rFonts w:ascii="Times New Roman" w:eastAsia="Times New Roman"/>
                <w:sz w:val="21"/>
              </w:rPr>
              <w:t>, </w:t>
            </w:r>
            <w:r>
              <w:rPr>
                <w:spacing w:val="-3"/>
                <w:sz w:val="21"/>
              </w:rPr>
              <w:t>遇水</w:t>
            </w:r>
            <w:r>
              <w:rPr>
                <w:sz w:val="21"/>
              </w:rPr>
              <w:t>和水</w:t>
            </w:r>
            <w:r>
              <w:rPr>
                <w:spacing w:val="-3"/>
                <w:sz w:val="21"/>
              </w:rPr>
              <w:t>蒸</w:t>
            </w:r>
            <w:r>
              <w:rPr>
                <w:sz w:val="21"/>
              </w:rPr>
              <w:t>气</w:t>
            </w:r>
            <w:r>
              <w:rPr>
                <w:spacing w:val="-3"/>
                <w:sz w:val="21"/>
              </w:rPr>
              <w:t>大</w:t>
            </w:r>
            <w:r>
              <w:rPr>
                <w:sz w:val="21"/>
              </w:rPr>
              <w:t>量</w:t>
            </w:r>
            <w:r>
              <w:rPr>
                <w:spacing w:val="-3"/>
                <w:sz w:val="21"/>
              </w:rPr>
              <w:t>放</w:t>
            </w:r>
            <w:r>
              <w:rPr>
                <w:sz w:val="21"/>
              </w:rPr>
              <w:t>热</w:t>
            </w:r>
            <w:r>
              <w:rPr>
                <w:rFonts w:ascii="Times New Roman" w:eastAsia="Times New Roman"/>
                <w:sz w:val="21"/>
              </w:rPr>
              <w:t>,</w:t>
            </w:r>
            <w:r>
              <w:rPr>
                <w:rFonts w:ascii="Times New Roman" w:eastAsia="Times New Roman"/>
                <w:spacing w:val="-3"/>
                <w:sz w:val="21"/>
              </w:rPr>
              <w:t> </w:t>
            </w:r>
            <w:r>
              <w:rPr>
                <w:sz w:val="21"/>
              </w:rPr>
              <w:t>形</w:t>
            </w:r>
          </w:p>
          <w:p>
            <w:pPr>
              <w:pStyle w:val="TableParagraph"/>
              <w:spacing w:before="1"/>
              <w:ind w:left="527"/>
              <w:jc w:val="left"/>
              <w:rPr>
                <w:sz w:val="21"/>
              </w:rPr>
            </w:pPr>
            <w:r>
              <w:rPr>
                <w:sz w:val="21"/>
              </w:rPr>
              <w:t>成腐蚀性溶液，具有强腐蚀性。</w:t>
            </w:r>
          </w:p>
          <w:p>
            <w:pPr>
              <w:pStyle w:val="TableParagraph"/>
              <w:spacing w:before="2"/>
              <w:ind w:left="527"/>
              <w:jc w:val="left"/>
              <w:rPr>
                <w:sz w:val="21"/>
              </w:rPr>
            </w:pPr>
            <w:r>
              <w:rPr>
                <w:sz w:val="21"/>
              </w:rPr>
              <w:t>燃烧</w:t>
            </w:r>
            <w:r>
              <w:rPr>
                <w:rFonts w:ascii="Times New Roman" w:eastAsia="Times New Roman"/>
                <w:sz w:val="21"/>
              </w:rPr>
              <w:t>(</w:t>
            </w:r>
            <w:r>
              <w:rPr>
                <w:sz w:val="21"/>
              </w:rPr>
              <w:t>分解</w:t>
            </w:r>
            <w:r>
              <w:rPr>
                <w:rFonts w:ascii="Times New Roman" w:eastAsia="Times New Roman"/>
                <w:sz w:val="21"/>
              </w:rPr>
              <w:t>)</w:t>
            </w:r>
            <w:r>
              <w:rPr>
                <w:sz w:val="21"/>
              </w:rPr>
              <w:t>产物：可能产生有害的毒性烟雾。</w:t>
            </w:r>
          </w:p>
          <w:p>
            <w:pPr>
              <w:pStyle w:val="TableParagraph"/>
              <w:tabs>
                <w:tab w:pos="1840" w:val="left" w:leader="none"/>
              </w:tabs>
              <w:spacing w:line="252" w:lineRule="exact" w:before="5"/>
              <w:ind w:left="527"/>
              <w:jc w:val="left"/>
              <w:rPr>
                <w:sz w:val="21"/>
              </w:rPr>
            </w:pPr>
            <w:r>
              <w:rPr>
                <w:sz w:val="21"/>
              </w:rPr>
              <w:t>灭火</w:t>
            </w:r>
            <w:r>
              <w:rPr>
                <w:spacing w:val="-3"/>
                <w:sz w:val="21"/>
              </w:rPr>
              <w:t>方</w:t>
            </w:r>
            <w:r>
              <w:rPr>
                <w:sz w:val="21"/>
              </w:rPr>
              <w:t>法：</w:t>
              <w:tab/>
              <w:t>用</w:t>
            </w:r>
            <w:r>
              <w:rPr>
                <w:spacing w:val="-3"/>
                <w:sz w:val="21"/>
              </w:rPr>
              <w:t>水</w:t>
            </w:r>
            <w:r>
              <w:rPr>
                <w:sz w:val="21"/>
              </w:rPr>
              <w:t>、</w:t>
            </w:r>
            <w:r>
              <w:rPr>
                <w:spacing w:val="-3"/>
                <w:sz w:val="21"/>
              </w:rPr>
              <w:t>砂土</w:t>
            </w:r>
            <w:r>
              <w:rPr>
                <w:sz w:val="21"/>
              </w:rPr>
              <w:t>扑救</w:t>
            </w:r>
            <w:r>
              <w:rPr>
                <w:spacing w:val="-3"/>
                <w:sz w:val="21"/>
              </w:rPr>
              <w:t>，</w:t>
            </w:r>
            <w:r>
              <w:rPr>
                <w:sz w:val="21"/>
              </w:rPr>
              <w:t>但</w:t>
            </w:r>
            <w:r>
              <w:rPr>
                <w:spacing w:val="-3"/>
                <w:sz w:val="21"/>
              </w:rPr>
              <w:t>须</w:t>
            </w:r>
            <w:r>
              <w:rPr>
                <w:sz w:val="21"/>
              </w:rPr>
              <w:t>防</w:t>
            </w:r>
            <w:r>
              <w:rPr>
                <w:spacing w:val="-3"/>
                <w:sz w:val="21"/>
              </w:rPr>
              <w:t>止</w:t>
            </w:r>
            <w:r>
              <w:rPr>
                <w:sz w:val="21"/>
              </w:rPr>
              <w:t>物</w:t>
            </w:r>
            <w:r>
              <w:rPr>
                <w:spacing w:val="-3"/>
                <w:sz w:val="21"/>
              </w:rPr>
              <w:t>品</w:t>
            </w:r>
            <w:r>
              <w:rPr>
                <w:sz w:val="21"/>
              </w:rPr>
              <w:t>遇</w:t>
            </w:r>
            <w:r>
              <w:rPr>
                <w:spacing w:val="-3"/>
                <w:sz w:val="21"/>
              </w:rPr>
              <w:t>水</w:t>
            </w:r>
            <w:r>
              <w:rPr>
                <w:sz w:val="21"/>
              </w:rPr>
              <w:t>产生</w:t>
            </w:r>
            <w:r>
              <w:rPr>
                <w:spacing w:val="-3"/>
                <w:sz w:val="21"/>
              </w:rPr>
              <w:t>飞</w:t>
            </w:r>
            <w:r>
              <w:rPr>
                <w:sz w:val="21"/>
              </w:rPr>
              <w:t>溅</w:t>
            </w:r>
            <w:r>
              <w:rPr>
                <w:spacing w:val="-3"/>
                <w:sz w:val="21"/>
              </w:rPr>
              <w:t>，</w:t>
            </w:r>
            <w:r>
              <w:rPr>
                <w:sz w:val="21"/>
              </w:rPr>
              <w:t>造</w:t>
            </w:r>
            <w:r>
              <w:rPr>
                <w:spacing w:val="-3"/>
                <w:sz w:val="21"/>
              </w:rPr>
              <w:t>成</w:t>
            </w:r>
            <w:r>
              <w:rPr>
                <w:sz w:val="21"/>
              </w:rPr>
              <w:t>灼伤</w:t>
            </w:r>
          </w:p>
        </w:tc>
      </w:tr>
      <w:tr>
        <w:trPr>
          <w:trHeight w:val="1360"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泄漏应急处理</w:t>
            </w:r>
          </w:p>
          <w:p>
            <w:pPr>
              <w:pStyle w:val="TableParagraph"/>
              <w:spacing w:line="242" w:lineRule="auto" w:before="2"/>
              <w:ind w:left="107" w:right="90" w:firstLine="419"/>
              <w:jc w:val="both"/>
              <w:rPr>
                <w:sz w:val="21"/>
              </w:rPr>
            </w:pPr>
            <w:r>
              <w:rPr>
                <w:spacing w:val="-7"/>
                <w:w w:val="100"/>
                <w:sz w:val="21"/>
              </w:rPr>
              <w:t>隔离泄漏污染区，限制出入，建议应急处理人员戴防尘面具</w:t>
            </w:r>
            <w:r>
              <w:rPr>
                <w:w w:val="100"/>
                <w:sz w:val="21"/>
              </w:rPr>
              <w:t>（</w:t>
            </w:r>
            <w:r>
              <w:rPr>
                <w:spacing w:val="-2"/>
                <w:w w:val="100"/>
                <w:sz w:val="21"/>
              </w:rPr>
              <w:t>全面罩</w:t>
            </w:r>
            <w:r>
              <w:rPr>
                <w:spacing w:val="-108"/>
                <w:w w:val="100"/>
                <w:sz w:val="21"/>
              </w:rPr>
              <w:t>）</w:t>
            </w:r>
            <w:r>
              <w:rPr>
                <w:spacing w:val="-5"/>
                <w:w w:val="100"/>
                <w:sz w:val="21"/>
              </w:rPr>
              <w:t>，穿防酸碱工作服，不</w:t>
            </w:r>
            <w:r>
              <w:rPr>
                <w:spacing w:val="-6"/>
                <w:sz w:val="21"/>
              </w:rPr>
              <w:t>要直接接触泄漏物；小量泄漏：避免扬尘，用洁净的铲子收集于干燥、洁净、有盖的容器中，也</w:t>
            </w:r>
            <w:r>
              <w:rPr>
                <w:spacing w:val="-3"/>
                <w:sz w:val="21"/>
              </w:rPr>
              <w:t>可以用大量水冲洗，洗水稀释后放入废水系统；大量泄漏：收集回收或运至废物处理场所处置</w:t>
            </w:r>
          </w:p>
          <w:p>
            <w:pPr>
              <w:pStyle w:val="TableParagraph"/>
              <w:spacing w:line="250" w:lineRule="exact" w:before="3"/>
              <w:ind w:left="527"/>
              <w:jc w:val="left"/>
              <w:rPr>
                <w:sz w:val="21"/>
              </w:rPr>
            </w:pPr>
            <w:r>
              <w:rPr>
                <w:color w:val="333333"/>
                <w:sz w:val="21"/>
              </w:rPr>
              <w:t>废弃处置方法：处置前应参阅国家和地方有关法规，中和、稀释后，排入废水系统</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2" w:lineRule="auto" w:before="4"/>
              <w:ind w:left="107" w:right="90" w:firstLine="419"/>
              <w:jc w:val="both"/>
              <w:rPr>
                <w:sz w:val="21"/>
              </w:rPr>
            </w:pPr>
            <w:r>
              <w:rPr>
                <w:spacing w:val="-1"/>
                <w:sz w:val="21"/>
              </w:rPr>
              <w:t>操作处理注意事项：操作人员应佩戴佩戴防护眼镜和胶皮手套。避免与酸类接触。搬运时轻装轻卸，防止包装及容器损坏。配备泄漏应急处理设备。稀释或配制溶液时应把碱倒入水中，避</w:t>
            </w:r>
            <w:r>
              <w:rPr>
                <w:spacing w:val="-2"/>
                <w:sz w:val="21"/>
              </w:rPr>
              <w:t>免沸腾和飞溅。</w:t>
            </w:r>
          </w:p>
          <w:p>
            <w:pPr>
              <w:pStyle w:val="TableParagraph"/>
              <w:spacing w:before="1"/>
              <w:ind w:left="527"/>
              <w:jc w:val="both"/>
              <w:rPr>
                <w:sz w:val="21"/>
              </w:rPr>
            </w:pPr>
            <w:r>
              <w:rPr>
                <w:sz w:val="21"/>
              </w:rPr>
              <w:t>储存注意事项：储存于干燥、清洁的库房内，库内相对湿度不大于 </w:t>
            </w:r>
            <w:r>
              <w:rPr>
                <w:rFonts w:ascii="Times New Roman" w:eastAsia="Times New Roman"/>
                <w:sz w:val="21"/>
              </w:rPr>
              <w:t>85%</w:t>
            </w:r>
            <w:r>
              <w:rPr>
                <w:sz w:val="21"/>
              </w:rPr>
              <w:t>。防止碰撞及与酸性</w:t>
            </w:r>
          </w:p>
          <w:p>
            <w:pPr>
              <w:pStyle w:val="TableParagraph"/>
              <w:spacing w:line="250" w:lineRule="exact" w:before="4"/>
              <w:ind w:left="107"/>
              <w:jc w:val="left"/>
              <w:rPr>
                <w:sz w:val="21"/>
              </w:rPr>
            </w:pPr>
            <w:r>
              <w:rPr>
                <w:sz w:val="21"/>
              </w:rPr>
              <w:t>物品接触</w:t>
            </w:r>
          </w:p>
        </w:tc>
      </w:tr>
      <w:tr>
        <w:trPr>
          <w:trHeight w:val="2996"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4"/>
              <w:ind w:left="527"/>
              <w:jc w:val="left"/>
              <w:rPr>
                <w:rFonts w:ascii="Times New Roman" w:eastAsia="Times New Roman"/>
                <w:sz w:val="21"/>
              </w:rPr>
            </w:pPr>
            <w:r>
              <w:rPr>
                <w:spacing w:val="-3"/>
                <w:w w:val="100"/>
                <w:sz w:val="21"/>
              </w:rPr>
              <w:t>职业接触限值：中国</w:t>
            </w:r>
            <w:r>
              <w:rPr>
                <w:spacing w:val="-53"/>
                <w:sz w:val="21"/>
              </w:rPr>
              <w:t> </w:t>
            </w:r>
            <w:r>
              <w:rPr>
                <w:rFonts w:ascii="Times New Roman" w:eastAsia="Times New Roman"/>
                <w:spacing w:val="-3"/>
                <w:w w:val="100"/>
                <w:sz w:val="21"/>
              </w:rPr>
              <w:t>M</w:t>
            </w:r>
            <w:r>
              <w:rPr>
                <w:rFonts w:ascii="Times New Roman" w:eastAsia="Times New Roman"/>
                <w:spacing w:val="-1"/>
                <w:w w:val="100"/>
                <w:sz w:val="21"/>
              </w:rPr>
              <w:t>AC</w:t>
            </w:r>
            <w:r>
              <w:rPr>
                <w:w w:val="100"/>
                <w:sz w:val="21"/>
              </w:rPr>
              <w:t>（</w:t>
            </w:r>
            <w:r>
              <w:rPr>
                <w:rFonts w:ascii="Times New Roman" w:eastAsia="Times New Roman"/>
                <w:spacing w:val="-4"/>
                <w:w w:val="100"/>
                <w:sz w:val="21"/>
              </w:rPr>
              <w:t>m</w:t>
            </w:r>
            <w:r>
              <w:rPr>
                <w:rFonts w:ascii="Times New Roman" w:eastAsia="Times New Roman"/>
                <w:w w:val="100"/>
                <w:sz w:val="21"/>
              </w:rPr>
              <w:t>g</w:t>
            </w:r>
            <w:r>
              <w:rPr>
                <w:rFonts w:ascii="Times New Roman" w:eastAsia="Times New Roman"/>
                <w:spacing w:val="1"/>
                <w:w w:val="100"/>
                <w:sz w:val="21"/>
              </w:rPr>
              <w:t>/</w:t>
            </w:r>
            <w:r>
              <w:rPr>
                <w:rFonts w:ascii="Times New Roman" w:eastAsia="Times New Roman"/>
                <w:spacing w:val="-4"/>
                <w:w w:val="100"/>
                <w:sz w:val="21"/>
              </w:rPr>
              <w:t>m</w:t>
            </w:r>
            <w:r>
              <w:rPr>
                <w:rFonts w:ascii="Times New Roman" w:eastAsia="Times New Roman"/>
                <w:w w:val="100"/>
                <w:sz w:val="21"/>
              </w:rPr>
              <w:t>3</w:t>
            </w:r>
            <w:r>
              <w:rPr>
                <w:spacing w:val="-106"/>
                <w:w w:val="100"/>
                <w:sz w:val="21"/>
              </w:rPr>
              <w:t>）</w:t>
            </w:r>
            <w:r>
              <w:rPr>
                <w:w w:val="100"/>
                <w:sz w:val="21"/>
              </w:rPr>
              <w:t>：</w:t>
            </w:r>
            <w:r>
              <w:rPr>
                <w:rFonts w:ascii="Times New Roman" w:eastAsia="Times New Roman"/>
                <w:w w:val="100"/>
                <w:sz w:val="21"/>
              </w:rPr>
              <w:t>2</w:t>
            </w:r>
          </w:p>
          <w:p>
            <w:pPr>
              <w:pStyle w:val="TableParagraph"/>
              <w:spacing w:before="2"/>
              <w:ind w:left="527"/>
              <w:jc w:val="left"/>
              <w:rPr>
                <w:rFonts w:ascii="Times New Roman" w:eastAsia="Times New Roman"/>
                <w:sz w:val="21"/>
              </w:rPr>
            </w:pPr>
            <w:r>
              <w:rPr>
                <w:w w:val="100"/>
                <w:sz w:val="21"/>
              </w:rPr>
              <w:t>美国</w:t>
            </w:r>
            <w:r>
              <w:rPr>
                <w:spacing w:val="-3"/>
                <w:w w:val="100"/>
                <w:sz w:val="21"/>
              </w:rPr>
              <w:t>（</w:t>
            </w:r>
            <w:r>
              <w:rPr>
                <w:rFonts w:ascii="Times New Roman" w:eastAsia="Times New Roman"/>
                <w:spacing w:val="-2"/>
                <w:w w:val="100"/>
                <w:sz w:val="21"/>
              </w:rPr>
              <w:t>AC</w:t>
            </w:r>
            <w:r>
              <w:rPr>
                <w:rFonts w:ascii="Times New Roman" w:eastAsia="Times New Roman"/>
                <w:spacing w:val="-1"/>
                <w:w w:val="100"/>
                <w:sz w:val="21"/>
              </w:rPr>
              <w:t>G</w:t>
            </w:r>
            <w:r>
              <w:rPr>
                <w:rFonts w:ascii="Times New Roman" w:eastAsia="Times New Roman"/>
                <w:spacing w:val="-3"/>
                <w:w w:val="100"/>
                <w:sz w:val="21"/>
              </w:rPr>
              <w:t>I</w:t>
            </w:r>
            <w:r>
              <w:rPr>
                <w:rFonts w:ascii="Times New Roman" w:eastAsia="Times New Roman"/>
                <w:spacing w:val="1"/>
                <w:w w:val="100"/>
                <w:sz w:val="21"/>
              </w:rPr>
              <w:t>H</w:t>
            </w:r>
            <w:r>
              <w:rPr>
                <w:w w:val="100"/>
                <w:sz w:val="21"/>
              </w:rPr>
              <w:t>）</w:t>
            </w:r>
            <w:r>
              <w:rPr>
                <w:rFonts w:ascii="Times New Roman" w:eastAsia="Times New Roman"/>
                <w:w w:val="100"/>
                <w:sz w:val="21"/>
              </w:rPr>
              <w:t>T</w:t>
            </w:r>
            <w:r>
              <w:rPr>
                <w:rFonts w:ascii="Times New Roman" w:eastAsia="Times New Roman"/>
                <w:spacing w:val="-23"/>
                <w:w w:val="100"/>
                <w:sz w:val="21"/>
              </w:rPr>
              <w:t>L</w:t>
            </w:r>
            <w:r>
              <w:rPr>
                <w:rFonts w:ascii="Times New Roman" w:eastAsia="Times New Roman"/>
                <w:spacing w:val="-19"/>
                <w:w w:val="100"/>
                <w:sz w:val="21"/>
              </w:rPr>
              <w:t>V</w:t>
            </w:r>
            <w:r>
              <w:rPr>
                <w:rFonts w:ascii="Times New Roman" w:eastAsia="Times New Roman"/>
                <w:spacing w:val="-4"/>
                <w:w w:val="100"/>
                <w:sz w:val="21"/>
              </w:rPr>
              <w:t>-</w:t>
            </w:r>
            <w:r>
              <w:rPr>
                <w:rFonts w:ascii="Times New Roman" w:eastAsia="Times New Roman"/>
                <w:w w:val="100"/>
                <w:sz w:val="21"/>
              </w:rPr>
              <w:t>C</w:t>
            </w:r>
            <w:r>
              <w:rPr>
                <w:spacing w:val="-3"/>
                <w:w w:val="100"/>
                <w:sz w:val="21"/>
              </w:rPr>
              <w:t>（</w:t>
            </w:r>
            <w:r>
              <w:rPr>
                <w:rFonts w:ascii="Times New Roman" w:eastAsia="Times New Roman"/>
                <w:spacing w:val="-4"/>
                <w:w w:val="100"/>
                <w:sz w:val="21"/>
              </w:rPr>
              <w:t>m</w:t>
            </w:r>
            <w:r>
              <w:rPr>
                <w:rFonts w:ascii="Times New Roman" w:eastAsia="Times New Roman"/>
                <w:w w:val="100"/>
                <w:sz w:val="21"/>
              </w:rPr>
              <w:t>g</w:t>
            </w:r>
            <w:r>
              <w:rPr>
                <w:rFonts w:ascii="Times New Roman" w:eastAsia="Times New Roman"/>
                <w:spacing w:val="1"/>
                <w:w w:val="100"/>
                <w:sz w:val="21"/>
              </w:rPr>
              <w:t>/</w:t>
            </w:r>
            <w:r>
              <w:rPr>
                <w:rFonts w:ascii="Times New Roman" w:eastAsia="Times New Roman"/>
                <w:spacing w:val="-4"/>
                <w:w w:val="100"/>
                <w:sz w:val="21"/>
              </w:rPr>
              <w:t>m</w:t>
            </w:r>
            <w:r>
              <w:rPr>
                <w:rFonts w:ascii="Times New Roman" w:eastAsia="Times New Roman"/>
                <w:w w:val="100"/>
                <w:sz w:val="21"/>
              </w:rPr>
              <w:t>3</w:t>
            </w:r>
            <w:r>
              <w:rPr>
                <w:spacing w:val="-106"/>
                <w:w w:val="100"/>
                <w:sz w:val="21"/>
              </w:rPr>
              <w:t>）</w:t>
            </w:r>
            <w:r>
              <w:rPr>
                <w:w w:val="100"/>
                <w:sz w:val="21"/>
              </w:rPr>
              <w:t>：</w:t>
            </w:r>
            <w:r>
              <w:rPr>
                <w:rFonts w:ascii="Times New Roman" w:eastAsia="Times New Roman"/>
                <w:w w:val="100"/>
                <w:sz w:val="21"/>
              </w:rPr>
              <w:t>2</w:t>
            </w:r>
          </w:p>
          <w:p>
            <w:pPr>
              <w:pStyle w:val="TableParagraph"/>
              <w:spacing w:before="5"/>
              <w:ind w:left="527"/>
              <w:jc w:val="left"/>
              <w:rPr>
                <w:sz w:val="21"/>
              </w:rPr>
            </w:pPr>
            <w:r>
              <w:rPr>
                <w:sz w:val="21"/>
              </w:rPr>
              <w:t>监测方法：酸碱滴定法；火焰光度法。</w:t>
            </w:r>
          </w:p>
          <w:p>
            <w:pPr>
              <w:pStyle w:val="TableParagraph"/>
              <w:spacing w:before="2"/>
              <w:ind w:left="527"/>
              <w:jc w:val="left"/>
              <w:rPr>
                <w:sz w:val="21"/>
              </w:rPr>
            </w:pPr>
            <w:r>
              <w:rPr>
                <w:sz w:val="21"/>
              </w:rPr>
              <w:t>工程控制：密闭工作，提供安全淋浴和洗眼设备。</w:t>
            </w:r>
          </w:p>
          <w:p>
            <w:pPr>
              <w:pStyle w:val="TableParagraph"/>
              <w:spacing w:line="242" w:lineRule="auto" w:before="5"/>
              <w:ind w:left="107" w:right="-15" w:firstLine="419"/>
              <w:jc w:val="left"/>
              <w:rPr>
                <w:sz w:val="21"/>
              </w:rPr>
            </w:pPr>
            <w:r>
              <w:rPr>
                <w:spacing w:val="-7"/>
                <w:sz w:val="21"/>
              </w:rPr>
              <w:t>呼吸系统防护：可能接触粉尘时，必须佩戴头罩型送风式或过滤式防尘呼吸器，穿耐酸碱服， </w:t>
            </w:r>
            <w:r>
              <w:rPr>
                <w:spacing w:val="-5"/>
                <w:sz w:val="21"/>
              </w:rPr>
              <w:t>戴耐酸碱手套，戴防护手套。必要时佩戴空气或氧气呼吸器。</w:t>
            </w:r>
          </w:p>
          <w:p>
            <w:pPr>
              <w:pStyle w:val="TableParagraph"/>
              <w:spacing w:line="242" w:lineRule="auto" w:before="1"/>
              <w:ind w:left="527" w:right="3926"/>
              <w:jc w:val="left"/>
              <w:rPr>
                <w:sz w:val="21"/>
              </w:rPr>
            </w:pPr>
            <w:r>
              <w:rPr>
                <w:sz w:val="21"/>
              </w:rPr>
              <w:t>眼睛防护：呼吸系统中已作防护或佩戴防护眼镜。手防护：戴耐酸碱手套。</w:t>
            </w:r>
          </w:p>
          <w:p>
            <w:pPr>
              <w:pStyle w:val="TableParagraph"/>
              <w:spacing w:before="1"/>
              <w:ind w:left="527"/>
              <w:jc w:val="left"/>
              <w:rPr>
                <w:sz w:val="21"/>
              </w:rPr>
            </w:pPr>
            <w:r>
              <w:rPr>
                <w:sz w:val="21"/>
              </w:rPr>
              <w:t>皮肤和身体防护：穿耐酸碱服。</w:t>
            </w:r>
          </w:p>
          <w:p>
            <w:pPr>
              <w:pStyle w:val="TableParagraph"/>
              <w:spacing w:line="252" w:lineRule="exact" w:before="2"/>
              <w:ind w:left="527"/>
              <w:jc w:val="left"/>
              <w:rPr>
                <w:sz w:val="21"/>
              </w:rPr>
            </w:pPr>
            <w:r>
              <w:rPr>
                <w:sz w:val="21"/>
              </w:rPr>
              <w:t>其他防护：工作场所禁止吸烟、进食和饮水，饭前要洗手。工作完毕，淋浴更衣</w:t>
            </w:r>
          </w:p>
        </w:tc>
      </w:tr>
      <w:tr>
        <w:trPr>
          <w:trHeight w:val="1362" w:hRule="atLeast"/>
        </w:trPr>
        <w:tc>
          <w:tcPr>
            <w:tcW w:w="9091" w:type="dxa"/>
            <w:tcBorders>
              <w:top w:val="single" w:sz="6" w:space="0" w:color="000000"/>
            </w:tcBorders>
          </w:tcPr>
          <w:p>
            <w:pPr>
              <w:pStyle w:val="TableParagraph"/>
              <w:spacing w:before="1"/>
              <w:ind w:left="107"/>
              <w:jc w:val="left"/>
              <w:rPr>
                <w:b/>
                <w:sz w:val="21"/>
              </w:rPr>
            </w:pPr>
            <w:r>
              <w:rPr>
                <w:b/>
                <w:sz w:val="21"/>
              </w:rPr>
              <w:t>理化特性</w:t>
            </w:r>
          </w:p>
          <w:p>
            <w:pPr>
              <w:pStyle w:val="TableParagraph"/>
              <w:spacing w:line="244" w:lineRule="auto" w:before="2"/>
              <w:ind w:left="107" w:right="93" w:firstLine="419"/>
              <w:jc w:val="left"/>
              <w:rPr>
                <w:sz w:val="21"/>
              </w:rPr>
            </w:pPr>
            <w:r>
              <w:rPr>
                <w:spacing w:val="-1"/>
                <w:sz w:val="21"/>
              </w:rPr>
              <w:t>外观与性状：本品固体为白色不透明固体，易潮解；本品液体为无色或略带暗红色的粘稠液</w:t>
            </w:r>
            <w:r>
              <w:rPr>
                <w:spacing w:val="7"/>
                <w:w w:val="100"/>
                <w:sz w:val="21"/>
              </w:rPr>
              <w:t>体。</w:t>
            </w:r>
            <w:r>
              <w:rPr>
                <w:spacing w:val="-24"/>
                <w:sz w:val="21"/>
              </w:rPr>
              <w:t> </w:t>
            </w:r>
            <w:r>
              <w:rPr>
                <w:spacing w:val="11"/>
                <w:w w:val="100"/>
                <w:sz w:val="21"/>
              </w:rPr>
              <w:t>气味：无味</w:t>
            </w:r>
            <w:r>
              <w:rPr>
                <w:spacing w:val="-38"/>
                <w:sz w:val="21"/>
              </w:rPr>
              <w:t> </w:t>
            </w:r>
            <w:r>
              <w:rPr>
                <w:rFonts w:ascii="Times New Roman" w:hAnsi="Times New Roman" w:eastAsia="Times New Roman"/>
                <w:spacing w:val="-1"/>
                <w:w w:val="100"/>
                <w:sz w:val="21"/>
              </w:rPr>
              <w:t>P</w:t>
            </w:r>
            <w:r>
              <w:rPr>
                <w:rFonts w:ascii="Times New Roman" w:hAnsi="Times New Roman" w:eastAsia="Times New Roman"/>
                <w:w w:val="100"/>
                <w:sz w:val="21"/>
              </w:rPr>
              <w:t>H</w:t>
            </w:r>
            <w:r>
              <w:rPr>
                <w:rFonts w:ascii="Times New Roman" w:hAnsi="Times New Roman" w:eastAsia="Times New Roman"/>
                <w:spacing w:val="8"/>
                <w:sz w:val="21"/>
              </w:rPr>
              <w:t>  </w:t>
            </w:r>
            <w:r>
              <w:rPr>
                <w:spacing w:val="12"/>
                <w:w w:val="100"/>
                <w:sz w:val="21"/>
              </w:rPr>
              <w:t>值：</w:t>
            </w:r>
            <w:r>
              <w:rPr>
                <w:rFonts w:ascii="Times New Roman" w:hAnsi="Times New Roman" w:eastAsia="Times New Roman"/>
                <w:w w:val="100"/>
                <w:sz w:val="21"/>
              </w:rPr>
              <w:t>12.</w:t>
            </w:r>
            <w:r>
              <w:rPr>
                <w:rFonts w:ascii="Times New Roman" w:hAnsi="Times New Roman" w:eastAsia="Times New Roman"/>
                <w:spacing w:val="14"/>
                <w:w w:val="100"/>
                <w:sz w:val="21"/>
              </w:rPr>
              <w:t>7</w:t>
            </w:r>
            <w:r>
              <w:rPr>
                <w:spacing w:val="14"/>
                <w:w w:val="100"/>
                <w:sz w:val="21"/>
              </w:rPr>
              <w:t>（</w:t>
            </w:r>
            <w:r>
              <w:rPr>
                <w:rFonts w:ascii="Times New Roman" w:hAnsi="Times New Roman" w:eastAsia="Times New Roman"/>
                <w:w w:val="100"/>
                <w:sz w:val="21"/>
              </w:rPr>
              <w:t>1</w:t>
            </w:r>
            <w:r>
              <w:rPr>
                <w:rFonts w:ascii="Times New Roman" w:hAnsi="Times New Roman" w:eastAsia="Times New Roman"/>
                <w:spacing w:val="13"/>
                <w:w w:val="100"/>
                <w:sz w:val="21"/>
              </w:rPr>
              <w:t>%</w:t>
            </w:r>
            <w:r>
              <w:rPr>
                <w:spacing w:val="14"/>
                <w:w w:val="100"/>
                <w:sz w:val="21"/>
              </w:rPr>
              <w:t>溶液</w:t>
            </w:r>
            <w:r>
              <w:rPr>
                <w:w w:val="100"/>
                <w:sz w:val="21"/>
              </w:rPr>
              <w:t>）</w:t>
            </w:r>
            <w:r>
              <w:rPr>
                <w:spacing w:val="-24"/>
                <w:sz w:val="21"/>
              </w:rPr>
              <w:t> </w:t>
            </w:r>
            <w:r>
              <w:rPr>
                <w:spacing w:val="14"/>
                <w:w w:val="100"/>
                <w:sz w:val="21"/>
              </w:rPr>
              <w:t>熔点（℃</w:t>
            </w:r>
            <w:r>
              <w:rPr>
                <w:spacing w:val="-89"/>
                <w:w w:val="100"/>
                <w:sz w:val="21"/>
              </w:rPr>
              <w:t>）</w:t>
            </w:r>
            <w:r>
              <w:rPr>
                <w:spacing w:val="14"/>
                <w:w w:val="100"/>
                <w:sz w:val="21"/>
              </w:rPr>
              <w:t>：</w:t>
            </w:r>
            <w:r>
              <w:rPr>
                <w:rFonts w:ascii="Times New Roman" w:hAnsi="Times New Roman" w:eastAsia="Times New Roman"/>
                <w:w w:val="100"/>
                <w:sz w:val="21"/>
              </w:rPr>
              <w:t>3</w:t>
            </w:r>
            <w:r>
              <w:rPr>
                <w:rFonts w:ascii="Times New Roman" w:hAnsi="Times New Roman" w:eastAsia="Times New Roman"/>
                <w:spacing w:val="-3"/>
                <w:w w:val="100"/>
                <w:sz w:val="21"/>
              </w:rPr>
              <w:t>1</w:t>
            </w:r>
            <w:r>
              <w:rPr>
                <w:rFonts w:ascii="Times New Roman" w:hAnsi="Times New Roman" w:eastAsia="Times New Roman"/>
                <w:w w:val="100"/>
                <w:sz w:val="21"/>
              </w:rPr>
              <w:t>8.4</w:t>
            </w:r>
            <w:r>
              <w:rPr>
                <w:rFonts w:ascii="Times New Roman" w:hAnsi="Times New Roman" w:eastAsia="Times New Roman"/>
                <w:spacing w:val="14"/>
                <w:sz w:val="21"/>
              </w:rPr>
              <w:t> </w:t>
            </w:r>
            <w:r>
              <w:rPr>
                <w:spacing w:val="14"/>
                <w:w w:val="100"/>
                <w:sz w:val="21"/>
              </w:rPr>
              <w:t>沸点（</w:t>
            </w:r>
            <w:r>
              <w:rPr>
                <w:spacing w:val="11"/>
                <w:w w:val="100"/>
                <w:sz w:val="21"/>
              </w:rPr>
              <w:t>℃</w:t>
            </w:r>
            <w:r>
              <w:rPr>
                <w:spacing w:val="-92"/>
                <w:w w:val="100"/>
                <w:sz w:val="21"/>
              </w:rPr>
              <w:t>）</w:t>
            </w:r>
            <w:r>
              <w:rPr>
                <w:spacing w:val="14"/>
                <w:w w:val="100"/>
                <w:sz w:val="21"/>
              </w:rPr>
              <w:t>：</w:t>
            </w:r>
            <w:r>
              <w:rPr>
                <w:rFonts w:ascii="Times New Roman" w:hAnsi="Times New Roman" w:eastAsia="Times New Roman"/>
                <w:w w:val="100"/>
                <w:sz w:val="21"/>
              </w:rPr>
              <w:t>1390</w:t>
            </w:r>
            <w:r>
              <w:rPr>
                <w:rFonts w:ascii="Times New Roman" w:hAnsi="Times New Roman" w:eastAsia="Times New Roman"/>
                <w:spacing w:val="7"/>
                <w:sz w:val="21"/>
              </w:rPr>
              <w:t>  </w:t>
            </w:r>
            <w:r>
              <w:rPr>
                <w:spacing w:val="10"/>
                <w:w w:val="100"/>
                <w:sz w:val="21"/>
              </w:rPr>
              <w:t>饱和蒸汽压</w:t>
            </w:r>
          </w:p>
          <w:p>
            <w:pPr>
              <w:pStyle w:val="TableParagraph"/>
              <w:spacing w:line="265" w:lineRule="exact"/>
              <w:ind w:left="107"/>
              <w:jc w:val="left"/>
              <w:rPr>
                <w:sz w:val="21"/>
              </w:rPr>
            </w:pPr>
            <w:r>
              <w:rPr>
                <w:w w:val="100"/>
                <w:sz w:val="21"/>
              </w:rPr>
              <w:t>（</w:t>
            </w:r>
            <w:r>
              <w:rPr>
                <w:rFonts w:ascii="Times New Roman" w:hAnsi="Times New Roman" w:eastAsia="Times New Roman"/>
                <w:spacing w:val="-3"/>
                <w:w w:val="100"/>
                <w:sz w:val="21"/>
              </w:rPr>
              <w:t>k</w:t>
            </w:r>
            <w:r>
              <w:rPr>
                <w:rFonts w:ascii="Times New Roman" w:hAnsi="Times New Roman" w:eastAsia="Times New Roman"/>
                <w:spacing w:val="2"/>
                <w:w w:val="100"/>
                <w:sz w:val="21"/>
              </w:rPr>
              <w:t>P</w:t>
            </w:r>
            <w:r>
              <w:rPr>
                <w:rFonts w:ascii="Times New Roman" w:hAnsi="Times New Roman" w:eastAsia="Times New Roman"/>
                <w:spacing w:val="-3"/>
                <w:w w:val="100"/>
                <w:sz w:val="21"/>
              </w:rPr>
              <w:t>a</w:t>
            </w:r>
            <w:r>
              <w:rPr>
                <w:w w:val="100"/>
                <w:sz w:val="21"/>
              </w:rPr>
              <w:t>）</w:t>
            </w:r>
            <w:r>
              <w:rPr>
                <w:rFonts w:ascii="Times New Roman" w:hAnsi="Times New Roman" w:eastAsia="Times New Roman"/>
                <w:w w:val="100"/>
                <w:sz w:val="21"/>
              </w:rPr>
              <w:t>:0.13</w:t>
            </w:r>
            <w:r>
              <w:rPr>
                <w:rFonts w:ascii="Times New Roman" w:hAnsi="Times New Roman" w:eastAsia="Times New Roman"/>
                <w:spacing w:val="-2"/>
                <w:w w:val="100"/>
                <w:sz w:val="21"/>
              </w:rPr>
              <w:t>(</w:t>
            </w:r>
            <w:r>
              <w:rPr>
                <w:rFonts w:ascii="Times New Roman" w:hAnsi="Times New Roman" w:eastAsia="Times New Roman"/>
                <w:spacing w:val="-3"/>
                <w:w w:val="100"/>
                <w:sz w:val="21"/>
              </w:rPr>
              <w:t>7</w:t>
            </w:r>
            <w:r>
              <w:rPr>
                <w:rFonts w:ascii="Times New Roman" w:hAnsi="Times New Roman" w:eastAsia="Times New Roman"/>
                <w:w w:val="100"/>
                <w:sz w:val="21"/>
              </w:rPr>
              <w:t>3</w:t>
            </w:r>
            <w:r>
              <w:rPr>
                <w:rFonts w:ascii="Times New Roman" w:hAnsi="Times New Roman" w:eastAsia="Times New Roman"/>
                <w:spacing w:val="-1"/>
                <w:w w:val="100"/>
                <w:sz w:val="21"/>
              </w:rPr>
              <w:t>9</w:t>
            </w:r>
            <w:r>
              <w:rPr>
                <w:w w:val="100"/>
                <w:sz w:val="21"/>
              </w:rPr>
              <w:t>℃</w:t>
            </w:r>
            <w:r>
              <w:rPr>
                <w:rFonts w:ascii="Times New Roman" w:hAnsi="Times New Roman" w:eastAsia="Times New Roman"/>
                <w:w w:val="100"/>
                <w:sz w:val="21"/>
              </w:rPr>
              <w:t>)</w:t>
            </w:r>
            <w:r>
              <w:rPr>
                <w:rFonts w:ascii="Times New Roman" w:hAnsi="Times New Roman" w:eastAsia="Times New Roman"/>
                <w:spacing w:val="-3"/>
                <w:sz w:val="21"/>
              </w:rPr>
              <w:t> </w:t>
            </w:r>
            <w:r>
              <w:rPr>
                <w:spacing w:val="-3"/>
                <w:w w:val="100"/>
                <w:sz w:val="21"/>
              </w:rPr>
              <w:t>相对蒸气密度（</w:t>
            </w:r>
            <w:r>
              <w:rPr>
                <w:spacing w:val="-2"/>
                <w:w w:val="100"/>
                <w:sz w:val="21"/>
              </w:rPr>
              <w:t>空气</w:t>
            </w:r>
            <w:r>
              <w:rPr>
                <w:w w:val="100"/>
                <w:sz w:val="21"/>
              </w:rPr>
              <w:t>＝</w:t>
            </w:r>
            <w:r>
              <w:rPr>
                <w:rFonts w:ascii="Times New Roman" w:hAnsi="Times New Roman" w:eastAsia="Times New Roman"/>
                <w:w w:val="100"/>
                <w:sz w:val="21"/>
              </w:rPr>
              <w:t>1</w:t>
            </w:r>
            <w:r>
              <w:rPr>
                <w:spacing w:val="-108"/>
                <w:w w:val="100"/>
                <w:sz w:val="21"/>
              </w:rPr>
              <w:t>）</w:t>
            </w:r>
            <w:r>
              <w:rPr>
                <w:spacing w:val="-2"/>
                <w:w w:val="100"/>
                <w:sz w:val="21"/>
              </w:rPr>
              <w:t>：无资料</w:t>
            </w:r>
            <w:r>
              <w:rPr>
                <w:spacing w:val="-55"/>
                <w:sz w:val="21"/>
              </w:rPr>
              <w:t> </w:t>
            </w:r>
            <w:r>
              <w:rPr>
                <w:spacing w:val="-3"/>
                <w:w w:val="100"/>
                <w:sz w:val="21"/>
              </w:rPr>
              <w:t>固碱相对密度</w:t>
            </w:r>
            <w:r>
              <w:rPr>
                <w:w w:val="100"/>
                <w:sz w:val="21"/>
              </w:rPr>
              <w:t>（</w:t>
            </w:r>
            <w:r>
              <w:rPr>
                <w:spacing w:val="-3"/>
                <w:w w:val="100"/>
                <w:sz w:val="21"/>
              </w:rPr>
              <w:t>水＝</w:t>
            </w:r>
            <w:r>
              <w:rPr>
                <w:rFonts w:ascii="Times New Roman" w:hAnsi="Times New Roman" w:eastAsia="Times New Roman"/>
                <w:w w:val="100"/>
                <w:sz w:val="21"/>
              </w:rPr>
              <w:t>1</w:t>
            </w:r>
            <w:r>
              <w:rPr>
                <w:spacing w:val="-106"/>
                <w:w w:val="100"/>
                <w:sz w:val="21"/>
              </w:rPr>
              <w:t>）</w:t>
            </w:r>
            <w:r>
              <w:rPr>
                <w:w w:val="100"/>
                <w:sz w:val="21"/>
              </w:rPr>
              <w:t>：</w:t>
            </w:r>
            <w:r>
              <w:rPr>
                <w:rFonts w:ascii="Times New Roman" w:hAnsi="Times New Roman" w:eastAsia="Times New Roman"/>
                <w:w w:val="100"/>
                <w:sz w:val="21"/>
              </w:rPr>
              <w:t>2</w:t>
            </w:r>
            <w:r>
              <w:rPr>
                <w:rFonts w:ascii="Times New Roman" w:hAnsi="Times New Roman" w:eastAsia="Times New Roman"/>
                <w:spacing w:val="-3"/>
                <w:w w:val="100"/>
                <w:sz w:val="21"/>
              </w:rPr>
              <w:t>.</w:t>
            </w:r>
            <w:r>
              <w:rPr>
                <w:rFonts w:ascii="Times New Roman" w:hAnsi="Times New Roman" w:eastAsia="Times New Roman"/>
                <w:w w:val="100"/>
                <w:sz w:val="21"/>
              </w:rPr>
              <w:t>12</w:t>
            </w:r>
            <w:r>
              <w:rPr>
                <w:rFonts w:ascii="Times New Roman" w:hAnsi="Times New Roman" w:eastAsia="Times New Roman"/>
                <w:spacing w:val="12"/>
                <w:sz w:val="21"/>
              </w:rPr>
              <w:t> </w:t>
            </w:r>
            <w:r>
              <w:rPr>
                <w:spacing w:val="-1"/>
                <w:w w:val="100"/>
                <w:sz w:val="21"/>
              </w:rPr>
              <w:t>溶解性：易</w:t>
            </w:r>
          </w:p>
          <w:p>
            <w:pPr>
              <w:pStyle w:val="TableParagraph"/>
              <w:spacing w:line="252" w:lineRule="exact" w:before="4"/>
              <w:ind w:left="107"/>
              <w:jc w:val="left"/>
              <w:rPr>
                <w:sz w:val="21"/>
              </w:rPr>
            </w:pPr>
            <w:r>
              <w:rPr>
                <w:sz w:val="21"/>
              </w:rPr>
              <w:t>溶于水、乙醇、甘油</w:t>
            </w:r>
          </w:p>
        </w:tc>
      </w:tr>
    </w:tbl>
    <w:p>
      <w:pPr>
        <w:spacing w:after="0" w:line="252" w:lineRule="exact"/>
        <w:jc w:val="left"/>
        <w:rPr>
          <w:sz w:val="21"/>
        </w:rPr>
        <w:sectPr>
          <w:pgSz w:w="11910" w:h="16840"/>
          <w:pgMar w:header="0" w:footer="952" w:top="1580" w:bottom="1140" w:left="1240" w:right="1240"/>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2178" w:hRule="atLeast"/>
        </w:trPr>
        <w:tc>
          <w:tcPr>
            <w:tcW w:w="9091" w:type="dxa"/>
            <w:tcBorders>
              <w:bottom w:val="single" w:sz="6" w:space="0" w:color="000000"/>
            </w:tcBorders>
          </w:tcPr>
          <w:p>
            <w:pPr>
              <w:pStyle w:val="TableParagraph"/>
              <w:spacing w:before="1"/>
              <w:ind w:left="107"/>
              <w:jc w:val="left"/>
              <w:rPr>
                <w:b/>
                <w:sz w:val="21"/>
              </w:rPr>
            </w:pPr>
            <w:r>
              <w:rPr>
                <w:b/>
                <w:sz w:val="21"/>
              </w:rPr>
              <w:t>毒理学资料</w:t>
            </w:r>
          </w:p>
          <w:p>
            <w:pPr>
              <w:pStyle w:val="TableParagraph"/>
              <w:spacing w:before="2"/>
              <w:ind w:left="527"/>
              <w:jc w:val="left"/>
              <w:rPr>
                <w:rFonts w:ascii="Times New Roman" w:hAnsi="Times New Roman" w:eastAsia="Times New Roman"/>
                <w:sz w:val="21"/>
              </w:rPr>
            </w:pPr>
            <w:r>
              <w:rPr>
                <w:sz w:val="21"/>
              </w:rPr>
              <w:t>急性毒性：家兔经口 </w:t>
            </w:r>
            <w:r>
              <w:rPr>
                <w:rFonts w:ascii="Times New Roman" w:hAnsi="Times New Roman" w:eastAsia="Times New Roman"/>
                <w:sz w:val="21"/>
              </w:rPr>
              <w:t>LD50</w:t>
            </w:r>
            <w:r>
              <w:rPr>
                <w:sz w:val="21"/>
              </w:rPr>
              <w:t>：</w:t>
            </w:r>
            <w:r>
              <w:rPr>
                <w:rFonts w:ascii="Times New Roman" w:hAnsi="Times New Roman" w:eastAsia="Times New Roman"/>
                <w:sz w:val="21"/>
              </w:rPr>
              <w:t>500mg∕kg</w:t>
            </w:r>
          </w:p>
          <w:p>
            <w:pPr>
              <w:pStyle w:val="TableParagraph"/>
              <w:spacing w:before="4"/>
              <w:ind w:left="527"/>
              <w:jc w:val="left"/>
              <w:rPr>
                <w:sz w:val="21"/>
              </w:rPr>
            </w:pPr>
            <w:r>
              <w:rPr>
                <w:sz w:val="21"/>
              </w:rPr>
              <w:t>皮肤刺激或腐蚀：家兔经皮：</w:t>
            </w:r>
            <w:r>
              <w:rPr>
                <w:rFonts w:ascii="Times New Roman" w:eastAsia="Times New Roman"/>
                <w:sz w:val="21"/>
              </w:rPr>
              <w:t>50mg/24 </w:t>
            </w:r>
            <w:r>
              <w:rPr>
                <w:sz w:val="21"/>
              </w:rPr>
              <w:t>小时，重度刺激。</w:t>
            </w:r>
          </w:p>
          <w:p>
            <w:pPr>
              <w:pStyle w:val="TableParagraph"/>
              <w:spacing w:line="244" w:lineRule="auto" w:before="2"/>
              <w:ind w:left="527" w:right="620"/>
              <w:jc w:val="left"/>
              <w:rPr>
                <w:sz w:val="21"/>
              </w:rPr>
            </w:pPr>
            <w:r>
              <w:rPr>
                <w:sz w:val="21"/>
              </w:rPr>
              <w:t>眼睛刺激或腐蚀：家兔经眼：</w:t>
            </w:r>
            <w:r>
              <w:rPr>
                <w:rFonts w:ascii="Times New Roman" w:eastAsia="Times New Roman"/>
                <w:sz w:val="21"/>
              </w:rPr>
              <w:t>1%</w:t>
            </w:r>
            <w:r>
              <w:rPr>
                <w:sz w:val="21"/>
              </w:rPr>
              <w:t>重度刺激。皮肤和眼与 </w:t>
            </w:r>
            <w:r>
              <w:rPr>
                <w:rFonts w:ascii="Times New Roman" w:eastAsia="Times New Roman"/>
                <w:sz w:val="21"/>
              </w:rPr>
              <w:t>NaOH </w:t>
            </w:r>
            <w:r>
              <w:rPr>
                <w:sz w:val="21"/>
              </w:rPr>
              <w:t>直接接触会引起灼伤。呼吸或皮肤过敏：粉尘刺激眼和呼吸道，腐蚀鼻中隔； 生殖细胞突变性：无资料</w:t>
            </w:r>
          </w:p>
          <w:p>
            <w:pPr>
              <w:pStyle w:val="TableParagraph"/>
              <w:spacing w:line="265" w:lineRule="exact"/>
              <w:ind w:left="527"/>
              <w:jc w:val="left"/>
              <w:rPr>
                <w:sz w:val="21"/>
              </w:rPr>
            </w:pPr>
            <w:r>
              <w:rPr>
                <w:sz w:val="21"/>
              </w:rPr>
              <w:t>致癌性：无资料。 生殖毒性：无资料。</w:t>
            </w:r>
          </w:p>
          <w:p>
            <w:pPr>
              <w:pStyle w:val="TableParagraph"/>
              <w:spacing w:line="270" w:lineRule="atLeast" w:before="4"/>
              <w:ind w:left="107" w:right="36" w:firstLine="419"/>
              <w:jc w:val="left"/>
              <w:rPr>
                <w:sz w:val="21"/>
              </w:rPr>
            </w:pPr>
            <w:r>
              <w:rPr>
                <w:sz w:val="21"/>
              </w:rPr>
              <w:t>特异性靶器官系统毒性</w:t>
            </w:r>
            <w:r>
              <w:rPr>
                <w:rFonts w:ascii="Times New Roman" w:hAnsi="Times New Roman" w:eastAsia="Times New Roman"/>
                <w:sz w:val="21"/>
              </w:rPr>
              <w:t>——</w:t>
            </w:r>
            <w:r>
              <w:rPr>
                <w:sz w:val="21"/>
              </w:rPr>
              <w:t>一次性接触：无资料。 特异性靶器官系统毒性</w:t>
            </w:r>
            <w:r>
              <w:rPr>
                <w:rFonts w:ascii="Times New Roman" w:hAnsi="Times New Roman" w:eastAsia="Times New Roman"/>
                <w:sz w:val="21"/>
              </w:rPr>
              <w:t>——</w:t>
            </w:r>
            <w:r>
              <w:rPr>
                <w:sz w:val="21"/>
              </w:rPr>
              <w:t>反复接触：无资料。 吸入危害：粉尘刺激眼和呼吸道，腐蚀鼻中隔</w:t>
            </w:r>
          </w:p>
        </w:tc>
      </w:tr>
      <w:tr>
        <w:trPr>
          <w:trHeight w:val="1905" w:hRule="atLeast"/>
        </w:trPr>
        <w:tc>
          <w:tcPr>
            <w:tcW w:w="9091" w:type="dxa"/>
            <w:tcBorders>
              <w:top w:val="single" w:sz="6" w:space="0" w:color="000000"/>
            </w:tcBorders>
          </w:tcPr>
          <w:p>
            <w:pPr>
              <w:pStyle w:val="TableParagraph"/>
              <w:spacing w:before="1"/>
              <w:ind w:left="107"/>
              <w:jc w:val="left"/>
              <w:rPr>
                <w:b/>
                <w:sz w:val="21"/>
              </w:rPr>
            </w:pPr>
            <w:r>
              <w:rPr>
                <w:b/>
                <w:sz w:val="21"/>
              </w:rPr>
              <w:t>运输信息</w:t>
            </w:r>
          </w:p>
          <w:p>
            <w:pPr>
              <w:pStyle w:val="TableParagraph"/>
              <w:spacing w:before="2"/>
              <w:ind w:left="527"/>
              <w:jc w:val="left"/>
              <w:rPr>
                <w:sz w:val="21"/>
              </w:rPr>
            </w:pPr>
            <w:r>
              <w:rPr>
                <w:sz w:val="21"/>
              </w:rPr>
              <w:t>包装标志：腐蚀品包装类别：Ⅱ类包装</w:t>
            </w:r>
          </w:p>
          <w:p>
            <w:pPr>
              <w:pStyle w:val="TableParagraph"/>
              <w:spacing w:line="242" w:lineRule="auto" w:before="4"/>
              <w:ind w:left="107" w:right="-15" w:firstLine="419"/>
              <w:jc w:val="left"/>
              <w:rPr>
                <w:sz w:val="21"/>
              </w:rPr>
            </w:pPr>
            <w:r>
              <w:rPr>
                <w:sz w:val="21"/>
              </w:rPr>
              <w:t>包装方法：袋装，每袋净质量（</w:t>
            </w:r>
            <w:r>
              <w:rPr>
                <w:rFonts w:ascii="Times New Roman" w:hAnsi="Times New Roman" w:eastAsia="Times New Roman"/>
                <w:sz w:val="21"/>
              </w:rPr>
              <w:t>25.0±0.25</w:t>
            </w:r>
            <w:r>
              <w:rPr>
                <w:sz w:val="21"/>
              </w:rPr>
              <w:t>）</w:t>
            </w:r>
            <w:r>
              <w:rPr>
                <w:rFonts w:ascii="Times New Roman" w:hAnsi="Times New Roman" w:eastAsia="Times New Roman"/>
                <w:sz w:val="21"/>
              </w:rPr>
              <w:t>kg</w:t>
            </w:r>
            <w:r>
              <w:rPr>
                <w:sz w:val="21"/>
              </w:rPr>
              <w:t>，内袋宜用聚乙烯、聚丙烯薄膜袋，外袋宜用</w:t>
            </w:r>
            <w:r>
              <w:rPr>
                <w:spacing w:val="-6"/>
                <w:sz w:val="21"/>
              </w:rPr>
              <w:t>聚乙烯、聚丙烯编织袋</w:t>
            </w:r>
            <w:r>
              <w:rPr>
                <w:spacing w:val="-3"/>
                <w:sz w:val="21"/>
              </w:rPr>
              <w:t>（</w:t>
            </w:r>
            <w:r>
              <w:rPr>
                <w:spacing w:val="-2"/>
                <w:sz w:val="21"/>
              </w:rPr>
              <w:t>或复膜袋</w:t>
            </w:r>
            <w:r>
              <w:rPr>
                <w:spacing w:val="-12"/>
                <w:sz w:val="21"/>
              </w:rPr>
              <w:t>）</w:t>
            </w:r>
            <w:r>
              <w:rPr>
                <w:spacing w:val="-5"/>
                <w:sz w:val="21"/>
              </w:rPr>
              <w:t>或牛皮纸袋。包装袋及封口应保证产品在正常贮运中不污染、</w:t>
            </w:r>
            <w:r>
              <w:rPr>
                <w:spacing w:val="-4"/>
                <w:sz w:val="21"/>
              </w:rPr>
              <w:t>不泄露、不破损。</w:t>
            </w:r>
          </w:p>
          <w:p>
            <w:pPr>
              <w:pStyle w:val="TableParagraph"/>
              <w:spacing w:before="1"/>
              <w:ind w:left="527"/>
              <w:jc w:val="left"/>
              <w:rPr>
                <w:sz w:val="21"/>
              </w:rPr>
            </w:pPr>
            <w:r>
              <w:rPr>
                <w:sz w:val="21"/>
              </w:rPr>
              <w:t>运输注意事项：运输过程中防止撞击。避免包装损坏、受潮、污染。不可与酸性物品混装混</w:t>
            </w:r>
          </w:p>
          <w:p>
            <w:pPr>
              <w:pStyle w:val="TableParagraph"/>
              <w:spacing w:line="250" w:lineRule="exact" w:before="5"/>
              <w:ind w:left="107"/>
              <w:jc w:val="left"/>
              <w:rPr>
                <w:sz w:val="21"/>
              </w:rPr>
            </w:pPr>
            <w:r>
              <w:rPr>
                <w:w w:val="100"/>
                <w:sz w:val="21"/>
              </w:rPr>
              <w:t>运</w:t>
            </w:r>
          </w:p>
        </w:tc>
      </w:tr>
    </w:tbl>
    <w:p>
      <w:pPr>
        <w:tabs>
          <w:tab w:pos="1339" w:val="left" w:leader="none"/>
        </w:tabs>
        <w:spacing w:line="357" w:lineRule="exact" w:before="0"/>
        <w:ind w:left="0" w:right="1" w:firstLine="0"/>
        <w:jc w:val="center"/>
        <w:rPr>
          <w:b/>
          <w:sz w:val="28"/>
        </w:rPr>
      </w:pPr>
      <w:r>
        <w:rPr>
          <w:b/>
          <w:sz w:val="28"/>
        </w:rPr>
        <w:t>表</w:t>
      </w:r>
      <w:r>
        <w:rPr>
          <w:b/>
          <w:spacing w:val="-71"/>
          <w:sz w:val="28"/>
        </w:rPr>
        <w:t> </w:t>
      </w:r>
      <w:r>
        <w:rPr>
          <w:b/>
          <w:sz w:val="28"/>
        </w:rPr>
        <w:t>3-1-5</w:t>
        <w:tab/>
        <w:t>乙二醇的理化性质及危险特性表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817"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spacing w:before="4"/>
              <w:ind w:left="527"/>
              <w:jc w:val="left"/>
              <w:rPr>
                <w:sz w:val="21"/>
              </w:rPr>
            </w:pPr>
            <w:r>
              <w:rPr>
                <w:sz w:val="21"/>
              </w:rPr>
              <w:t>化学品中文名：乙二醇；甘醇 化学品英文名：</w:t>
            </w:r>
            <w:r>
              <w:rPr>
                <w:rFonts w:ascii="Times New Roman" w:eastAsia="Times New Roman"/>
                <w:sz w:val="21"/>
              </w:rPr>
              <w:t>ethylene glycol</w:t>
            </w:r>
            <w:r>
              <w:rPr>
                <w:sz w:val="21"/>
              </w:rPr>
              <w:t>；</w:t>
            </w:r>
            <w:r>
              <w:rPr>
                <w:rFonts w:ascii="Times New Roman" w:eastAsia="Times New Roman"/>
                <w:sz w:val="21"/>
              </w:rPr>
              <w:t>1,2-ethanediol CAS </w:t>
            </w:r>
            <w:r>
              <w:rPr>
                <w:sz w:val="21"/>
              </w:rPr>
              <w:t>号：</w:t>
            </w:r>
          </w:p>
          <w:p>
            <w:pPr>
              <w:pStyle w:val="TableParagraph"/>
              <w:spacing w:line="252" w:lineRule="exact" w:before="2"/>
              <w:ind w:left="107"/>
              <w:jc w:val="left"/>
              <w:rPr>
                <w:rFonts w:ascii="Times New Roman" w:eastAsia="Times New Roman"/>
                <w:sz w:val="21"/>
              </w:rPr>
            </w:pPr>
            <w:r>
              <w:rPr>
                <w:rFonts w:ascii="Times New Roman" w:eastAsia="Times New Roman"/>
                <w:sz w:val="21"/>
              </w:rPr>
              <w:t>107-21-1</w:t>
            </w:r>
            <w:r>
              <w:rPr>
                <w:rFonts w:ascii="Times New Roman" w:eastAsia="Times New Roman"/>
                <w:spacing w:val="52"/>
                <w:sz w:val="21"/>
              </w:rPr>
              <w:t> </w:t>
            </w:r>
            <w:r>
              <w:rPr>
                <w:spacing w:val="-1"/>
                <w:sz w:val="21"/>
              </w:rPr>
              <w:t>分子式：</w:t>
            </w:r>
            <w:r>
              <w:rPr>
                <w:rFonts w:ascii="Times New Roman" w:eastAsia="Times New Roman"/>
                <w:sz w:val="21"/>
              </w:rPr>
              <w:t>C2H6O2  </w:t>
            </w:r>
            <w:r>
              <w:rPr>
                <w:spacing w:val="-2"/>
                <w:sz w:val="21"/>
              </w:rPr>
              <w:t>分子量：</w:t>
            </w:r>
            <w:r>
              <w:rPr>
                <w:rFonts w:ascii="Times New Roman" w:eastAsia="Times New Roman"/>
                <w:sz w:val="21"/>
              </w:rPr>
              <w:t>62.07</w:t>
            </w:r>
          </w:p>
        </w:tc>
      </w:tr>
      <w:tr>
        <w:trPr>
          <w:trHeight w:val="217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before="4"/>
              <w:ind w:left="527"/>
              <w:jc w:val="left"/>
              <w:rPr>
                <w:sz w:val="21"/>
              </w:rPr>
            </w:pPr>
            <w:r>
              <w:rPr>
                <w:sz w:val="21"/>
              </w:rPr>
              <w:t>侵入途径：吸入、食入、经皮吸收</w:t>
            </w:r>
          </w:p>
          <w:p>
            <w:pPr>
              <w:pStyle w:val="TableParagraph"/>
              <w:spacing w:line="242" w:lineRule="auto" w:before="2"/>
              <w:ind w:left="107" w:right="90" w:firstLine="419"/>
              <w:jc w:val="both"/>
              <w:rPr>
                <w:sz w:val="21"/>
              </w:rPr>
            </w:pPr>
            <w:r>
              <w:rPr>
                <w:spacing w:val="-1"/>
                <w:sz w:val="21"/>
              </w:rPr>
              <w:t>健康危害：急性中毒多系误服引起。吸入中毒表现为反复发作性昏厥，并可有眼球震颤，淋巴细胞增多。口服后急性中毒分三个阶段：第一阶段主要为中枢神经系统症状，轻者似乙醇中毒</w:t>
            </w:r>
            <w:r>
              <w:rPr>
                <w:spacing w:val="-4"/>
                <w:sz w:val="21"/>
              </w:rPr>
              <w:t>表现， 重者迅速产生昏迷、抽搐，最后死亡；第二阶段，心肺症状明显，严重病例可有肺水肿， </w:t>
            </w:r>
            <w:r>
              <w:rPr>
                <w:spacing w:val="-5"/>
                <w:sz w:val="21"/>
              </w:rPr>
              <w:t>支气管肺炎，心力衰竭；第三阶段主要表现为不同程度肾功能衰竭。本品一次口服致死量估计为</w:t>
            </w:r>
            <w:r>
              <w:rPr>
                <w:rFonts w:ascii="Times New Roman" w:eastAsia="Times New Roman"/>
                <w:sz w:val="21"/>
              </w:rPr>
              <w:t>1.4ml/kg(1.56g/kg)</w:t>
            </w:r>
            <w:r>
              <w:rPr>
                <w:spacing w:val="-12"/>
                <w:sz w:val="21"/>
              </w:rPr>
              <w:t>，即总量为 </w:t>
            </w:r>
            <w:r>
              <w:rPr>
                <w:rFonts w:ascii="Times New Roman" w:eastAsia="Times New Roman"/>
                <w:sz w:val="21"/>
              </w:rPr>
              <w:t>70</w:t>
            </w:r>
            <w:r>
              <w:rPr>
                <w:sz w:val="21"/>
              </w:rPr>
              <w:t>～</w:t>
            </w:r>
            <w:r>
              <w:rPr>
                <w:rFonts w:ascii="Times New Roman" w:eastAsia="Times New Roman"/>
                <w:sz w:val="21"/>
              </w:rPr>
              <w:t>84ml</w:t>
            </w:r>
            <w:r>
              <w:rPr>
                <w:sz w:val="21"/>
              </w:rPr>
              <w:t>。</w:t>
            </w:r>
          </w:p>
          <w:p>
            <w:pPr>
              <w:pStyle w:val="TableParagraph"/>
              <w:spacing w:line="252" w:lineRule="exact" w:before="2"/>
              <w:ind w:left="527"/>
              <w:jc w:val="left"/>
              <w:rPr>
                <w:sz w:val="21"/>
              </w:rPr>
            </w:pPr>
            <w:r>
              <w:rPr>
                <w:sz w:val="21"/>
              </w:rPr>
              <w:t>环境危害：对水体、土壤和大气可造成污染。 燃爆危险：可燃</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急救措施：</w:t>
            </w:r>
          </w:p>
          <w:p>
            <w:pPr>
              <w:pStyle w:val="TableParagraph"/>
              <w:spacing w:line="242" w:lineRule="auto" w:before="4"/>
              <w:ind w:left="107" w:right="-15" w:firstLine="419"/>
              <w:jc w:val="left"/>
              <w:rPr>
                <w:sz w:val="21"/>
              </w:rPr>
            </w:pPr>
            <w:r>
              <w:rPr>
                <w:spacing w:val="-8"/>
                <w:sz w:val="21"/>
              </w:rPr>
              <w:t>皮肤接触：脱去污染的衣着，用肥皂水和清水彻底冲洗皮肤。如有不适感，就医。眼睛接触： </w:t>
            </w:r>
            <w:r>
              <w:rPr>
                <w:spacing w:val="-5"/>
                <w:sz w:val="21"/>
              </w:rPr>
              <w:t>提起眼睑，用流动清水或生理盐水冲洗。如有不适感，就医。</w:t>
            </w:r>
          </w:p>
          <w:p>
            <w:pPr>
              <w:pStyle w:val="TableParagraph"/>
              <w:spacing w:line="242" w:lineRule="auto" w:before="1"/>
              <w:ind w:left="107" w:right="91" w:firstLine="419"/>
              <w:jc w:val="left"/>
              <w:rPr>
                <w:sz w:val="21"/>
              </w:rPr>
            </w:pPr>
            <w:r>
              <w:rPr>
                <w:spacing w:val="-8"/>
                <w:sz w:val="21"/>
              </w:rPr>
              <w:t>吸 入：迅速脱离现场至空气新鲜处。保持呼吸道通畅。如呼吸困难，给输氧。呼吸、心跳停</w:t>
            </w:r>
            <w:r>
              <w:rPr>
                <w:spacing w:val="-5"/>
                <w:sz w:val="21"/>
              </w:rPr>
              <w:t>止，立即进行心肺复苏术。就医。</w:t>
            </w:r>
          </w:p>
          <w:p>
            <w:pPr>
              <w:pStyle w:val="TableParagraph"/>
              <w:spacing w:line="251" w:lineRule="exact"/>
              <w:ind w:left="527"/>
              <w:jc w:val="left"/>
              <w:rPr>
                <w:sz w:val="21"/>
              </w:rPr>
            </w:pPr>
            <w:r>
              <w:rPr>
                <w:sz w:val="21"/>
              </w:rPr>
              <w:t>食 入：饮足量温水，催吐、洗胃、导泻。就医</w:t>
            </w:r>
          </w:p>
        </w:tc>
      </w:tr>
      <w:tr>
        <w:trPr>
          <w:trHeight w:val="217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消防措施</w:t>
            </w:r>
          </w:p>
          <w:p>
            <w:pPr>
              <w:pStyle w:val="TableParagraph"/>
              <w:spacing w:line="242" w:lineRule="auto" w:before="4"/>
              <w:ind w:left="107" w:right="93" w:firstLine="419"/>
              <w:jc w:val="left"/>
              <w:rPr>
                <w:sz w:val="21"/>
              </w:rPr>
            </w:pPr>
            <w:r>
              <w:rPr>
                <w:sz w:val="21"/>
              </w:rPr>
              <w:t>危险特性：遇明火、高热可燃。与氧化剂可发生反应。若遇高热，容器内压增大，有开裂和爆炸的危险。</w:t>
            </w:r>
          </w:p>
          <w:p>
            <w:pPr>
              <w:pStyle w:val="TableParagraph"/>
              <w:spacing w:before="1"/>
              <w:ind w:left="527"/>
              <w:jc w:val="left"/>
              <w:rPr>
                <w:sz w:val="21"/>
              </w:rPr>
            </w:pPr>
            <w:r>
              <w:rPr>
                <w:sz w:val="21"/>
              </w:rPr>
              <w:t>有害燃烧产物：一氧化碳。</w:t>
            </w:r>
          </w:p>
          <w:p>
            <w:pPr>
              <w:pStyle w:val="TableParagraph"/>
              <w:spacing w:before="3"/>
              <w:ind w:left="527"/>
              <w:jc w:val="left"/>
              <w:rPr>
                <w:sz w:val="21"/>
              </w:rPr>
            </w:pPr>
            <w:r>
              <w:rPr>
                <w:sz w:val="21"/>
              </w:rPr>
              <w:t>灭火方法：用雾状水、抗溶性泡沫、干粉、二氧化碳、砂土灭火。</w:t>
            </w:r>
          </w:p>
          <w:p>
            <w:pPr>
              <w:pStyle w:val="TableParagraph"/>
              <w:spacing w:line="242" w:lineRule="auto" w:before="4"/>
              <w:ind w:left="107" w:right="91" w:firstLine="419"/>
              <w:jc w:val="left"/>
              <w:rPr>
                <w:sz w:val="21"/>
              </w:rPr>
            </w:pPr>
            <w:r>
              <w:rPr>
                <w:sz w:val="21"/>
              </w:rPr>
              <w:t>灭火注意事项及措施：消防人员须佩戴防毒面具、穿全身消防服，在上风向灭火。尽可能将容器从火场移至空旷处。喷水保持火场容器冷却，直至灭火结束。处在火场中的容器若已变色或</w:t>
            </w:r>
          </w:p>
          <w:p>
            <w:pPr>
              <w:pStyle w:val="TableParagraph"/>
              <w:spacing w:line="250" w:lineRule="exact" w:before="1"/>
              <w:ind w:left="107"/>
              <w:jc w:val="left"/>
              <w:rPr>
                <w:sz w:val="21"/>
              </w:rPr>
            </w:pPr>
            <w:r>
              <w:rPr>
                <w:sz w:val="21"/>
              </w:rPr>
              <w:t>从安全泄压装置中产生声音，必须马上撤离</w:t>
            </w:r>
          </w:p>
        </w:tc>
      </w:tr>
      <w:tr>
        <w:trPr>
          <w:trHeight w:val="1636" w:hRule="atLeast"/>
        </w:trPr>
        <w:tc>
          <w:tcPr>
            <w:tcW w:w="9091" w:type="dxa"/>
            <w:tcBorders>
              <w:top w:val="single" w:sz="6" w:space="0" w:color="000000"/>
            </w:tcBorders>
          </w:tcPr>
          <w:p>
            <w:pPr>
              <w:pStyle w:val="TableParagraph"/>
              <w:spacing w:before="1"/>
              <w:ind w:left="107"/>
              <w:jc w:val="left"/>
              <w:rPr>
                <w:b/>
                <w:sz w:val="21"/>
              </w:rPr>
            </w:pPr>
            <w:r>
              <w:rPr>
                <w:b/>
                <w:sz w:val="21"/>
              </w:rPr>
              <w:t>泄漏应急处理</w:t>
            </w:r>
          </w:p>
          <w:p>
            <w:pPr>
              <w:pStyle w:val="TableParagraph"/>
              <w:spacing w:before="4"/>
              <w:ind w:left="527"/>
              <w:jc w:val="left"/>
              <w:rPr>
                <w:sz w:val="21"/>
              </w:rPr>
            </w:pPr>
            <w:r>
              <w:rPr>
                <w:sz w:val="21"/>
              </w:rPr>
              <w:t>根据液体流动和蒸气扩散的影响区域划定警戒区，无关人员从侧风、上风向撤离至</w:t>
            </w:r>
          </w:p>
          <w:p>
            <w:pPr>
              <w:pStyle w:val="TableParagraph"/>
              <w:spacing w:line="242" w:lineRule="auto" w:before="2"/>
              <w:ind w:left="107" w:right="90" w:firstLine="419"/>
              <w:jc w:val="both"/>
              <w:rPr>
                <w:sz w:val="21"/>
              </w:rPr>
            </w:pPr>
            <w:r>
              <w:rPr>
                <w:spacing w:val="-3"/>
                <w:sz w:val="21"/>
              </w:rPr>
              <w:t>安全区。消除所有点火源。建议应急处理人员戴防毒面具</w:t>
            </w:r>
            <w:r>
              <w:rPr>
                <w:rFonts w:ascii="Times New Roman" w:eastAsia="Times New Roman"/>
                <w:spacing w:val="-3"/>
                <w:sz w:val="21"/>
              </w:rPr>
              <w:t>,</w:t>
            </w:r>
            <w:r>
              <w:rPr>
                <w:spacing w:val="-3"/>
                <w:sz w:val="21"/>
              </w:rPr>
              <w:t>穿防毒服。穿上适当的防护服前严</w:t>
            </w:r>
            <w:r>
              <w:rPr>
                <w:spacing w:val="-4"/>
                <w:sz w:val="21"/>
              </w:rPr>
              <w:t>禁接触破裂的容器和泄漏物。尽可能切断泄漏源。防止泄漏物进入水体、下水道、地下室或密闭</w:t>
            </w:r>
            <w:r>
              <w:rPr>
                <w:spacing w:val="-1"/>
                <w:sz w:val="21"/>
              </w:rPr>
              <w:t>性空间。小量泄漏：用干燥的砂土或其它不燃材料吸收或覆盖，收集于容器中。大量泄漏：构筑</w:t>
            </w:r>
          </w:p>
          <w:p>
            <w:pPr>
              <w:pStyle w:val="TableParagraph"/>
              <w:spacing w:line="252" w:lineRule="exact" w:before="3"/>
              <w:ind w:left="107"/>
              <w:jc w:val="left"/>
              <w:rPr>
                <w:sz w:val="21"/>
              </w:rPr>
            </w:pPr>
            <w:r>
              <w:rPr>
                <w:sz w:val="21"/>
              </w:rPr>
              <w:t>围堤或挖坑收容。用飞尘或石灰粉吸收大量液体。用泵转移至槽车或专用收集器内</w:t>
            </w:r>
          </w:p>
        </w:tc>
      </w:tr>
    </w:tbl>
    <w:p>
      <w:pPr>
        <w:spacing w:after="0" w:line="252" w:lineRule="exact"/>
        <w:jc w:val="left"/>
        <w:rPr>
          <w:sz w:val="21"/>
        </w:rPr>
        <w:sectPr>
          <w:pgSz w:w="11910" w:h="16840"/>
          <w:pgMar w:header="0" w:footer="952" w:top="1580" w:bottom="1180" w:left="1240" w:right="1240"/>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2178" w:hRule="atLeast"/>
        </w:trPr>
        <w:tc>
          <w:tcPr>
            <w:tcW w:w="9091" w:type="dxa"/>
            <w:tcBorders>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2" w:lineRule="auto" w:before="2"/>
              <w:ind w:left="107" w:right="90" w:firstLine="419"/>
              <w:jc w:val="both"/>
              <w:rPr>
                <w:sz w:val="21"/>
              </w:rPr>
            </w:pPr>
            <w:r>
              <w:rPr>
                <w:sz w:val="21"/>
              </w:rPr>
              <w:t>操作注意事项：密闭操作，提供良好的自然通风条件。操作人员必须经过专门培训，严格遵</w:t>
            </w:r>
            <w:r>
              <w:rPr>
                <w:spacing w:val="-6"/>
                <w:w w:val="100"/>
                <w:sz w:val="21"/>
              </w:rPr>
              <w:t>守操作规程。建议操作人员佩戴自吸过滤式防毒面具</w:t>
            </w:r>
            <w:r>
              <w:rPr>
                <w:spacing w:val="-3"/>
                <w:w w:val="100"/>
                <w:sz w:val="21"/>
              </w:rPr>
              <w:t>（</w:t>
            </w:r>
            <w:r>
              <w:rPr>
                <w:spacing w:val="-2"/>
                <w:w w:val="100"/>
                <w:sz w:val="21"/>
              </w:rPr>
              <w:t>半面罩</w:t>
            </w:r>
            <w:r>
              <w:rPr>
                <w:spacing w:val="-108"/>
                <w:w w:val="100"/>
                <w:sz w:val="21"/>
              </w:rPr>
              <w:t>）</w:t>
            </w:r>
            <w:r>
              <w:rPr>
                <w:spacing w:val="-6"/>
                <w:w w:val="100"/>
                <w:sz w:val="21"/>
              </w:rPr>
              <w:t>，戴化学安全防护眼镜，戴防化学</w:t>
            </w:r>
            <w:r>
              <w:rPr>
                <w:spacing w:val="-7"/>
                <w:sz w:val="21"/>
              </w:rPr>
              <w:t>品手套。远离火种、热源，工作场所严禁吸烟。使用防爆型的通风系统和设备。防止蒸气泄漏到</w:t>
            </w:r>
            <w:r>
              <w:rPr>
                <w:spacing w:val="-1"/>
                <w:sz w:val="21"/>
              </w:rPr>
              <w:t>工作场所空气中。避免与氧化剂、酸类接触。搬运时轻装轻卸，保持包装完整，防止洒漏。配备</w:t>
            </w:r>
            <w:r>
              <w:rPr>
                <w:spacing w:val="-3"/>
                <w:sz w:val="21"/>
              </w:rPr>
              <w:t>相应品种和数量的消防器材及泄漏应急处理设备。倒空的容器可能残留有害物。</w:t>
            </w:r>
          </w:p>
          <w:p>
            <w:pPr>
              <w:pStyle w:val="TableParagraph"/>
              <w:spacing w:line="270" w:lineRule="atLeast" w:before="3"/>
              <w:ind w:left="107" w:right="93" w:firstLine="419"/>
              <w:jc w:val="left"/>
              <w:rPr>
                <w:sz w:val="21"/>
              </w:rPr>
            </w:pPr>
            <w:r>
              <w:rPr>
                <w:sz w:val="21"/>
              </w:rPr>
              <w:t>储存注意事项：储存于阴凉、通风的库房。远离火种、热源。应与氧化剂、酸类分开存放， 切忌混储。配备相应品种和数量的消防器材。储区应备有泄漏应急处理设备和合适的收容材料</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2"/>
              <w:ind w:left="527"/>
              <w:jc w:val="left"/>
              <w:rPr>
                <w:sz w:val="21"/>
              </w:rPr>
            </w:pPr>
            <w:r>
              <w:rPr>
                <w:sz w:val="21"/>
              </w:rPr>
              <w:t>监测方法：溶剂解吸</w:t>
            </w:r>
            <w:r>
              <w:rPr>
                <w:rFonts w:ascii="Times New Roman" w:eastAsia="Times New Roman"/>
                <w:sz w:val="21"/>
              </w:rPr>
              <w:t>-</w:t>
            </w:r>
            <w:r>
              <w:rPr>
                <w:sz w:val="21"/>
              </w:rPr>
              <w:t>气相色谱法。 工程控制：提供良好的自然通风条件。</w:t>
            </w:r>
          </w:p>
          <w:p>
            <w:pPr>
              <w:pStyle w:val="TableParagraph"/>
              <w:spacing w:line="242" w:lineRule="auto" w:before="4"/>
              <w:ind w:left="107" w:right="90" w:firstLine="419"/>
              <w:jc w:val="both"/>
              <w:rPr>
                <w:sz w:val="21"/>
              </w:rPr>
            </w:pPr>
            <w:r>
              <w:rPr>
                <w:sz w:val="21"/>
              </w:rPr>
              <w:t>呼吸系统防护：一般不需要特殊防护，高浓度接触时可佩戴过滤式防毒面具</w:t>
            </w:r>
            <w:r>
              <w:rPr>
                <w:rFonts w:ascii="Times New Roman" w:eastAsia="Times New Roman"/>
                <w:sz w:val="21"/>
              </w:rPr>
              <w:t>(</w:t>
            </w:r>
            <w:r>
              <w:rPr>
                <w:sz w:val="21"/>
              </w:rPr>
              <w:t>半面罩</w:t>
            </w:r>
            <w:r>
              <w:rPr>
                <w:rFonts w:ascii="Times New Roman" w:eastAsia="Times New Roman"/>
                <w:sz w:val="21"/>
              </w:rPr>
              <w:t>)</w:t>
            </w:r>
            <w:r>
              <w:rPr>
                <w:spacing w:val="1"/>
                <w:sz w:val="21"/>
              </w:rPr>
              <w:t>。 眼睛</w:t>
            </w:r>
            <w:r>
              <w:rPr>
                <w:spacing w:val="-5"/>
                <w:sz w:val="21"/>
              </w:rPr>
              <w:t>防护：空气中浓度较高时，佩戴化学安全防护眼镜。 身体防护：穿一般作业防护服。 手 防 护： </w:t>
            </w:r>
            <w:r>
              <w:rPr>
                <w:spacing w:val="-3"/>
                <w:sz w:val="21"/>
              </w:rPr>
              <w:t>戴防化学品手套。</w:t>
            </w:r>
          </w:p>
          <w:p>
            <w:pPr>
              <w:pStyle w:val="TableParagraph"/>
              <w:spacing w:line="252" w:lineRule="exact" w:before="1"/>
              <w:ind w:left="527"/>
              <w:jc w:val="left"/>
              <w:rPr>
                <w:sz w:val="21"/>
              </w:rPr>
            </w:pPr>
            <w:r>
              <w:rPr>
                <w:sz w:val="21"/>
              </w:rPr>
              <w:t>其他防护：工作完毕，淋浴更衣。避免长期反复接触。定期体检</w:t>
            </w:r>
          </w:p>
        </w:tc>
      </w:tr>
      <w:tr>
        <w:trPr>
          <w:trHeight w:val="217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理化特性</w:t>
            </w:r>
          </w:p>
          <w:p>
            <w:pPr>
              <w:pStyle w:val="TableParagraph"/>
              <w:spacing w:line="242" w:lineRule="auto" w:before="2"/>
              <w:ind w:left="107" w:right="93" w:firstLine="419"/>
              <w:jc w:val="left"/>
              <w:rPr>
                <w:rFonts w:ascii="Times New Roman" w:hAnsi="Times New Roman" w:eastAsia="Times New Roman"/>
                <w:sz w:val="21"/>
              </w:rPr>
            </w:pPr>
            <w:r>
              <w:rPr>
                <w:spacing w:val="-6"/>
                <w:sz w:val="21"/>
              </w:rPr>
              <w:t>外观与性状：无色、无臭、有甜味、粘稠液体。 </w:t>
            </w:r>
            <w:r>
              <w:rPr>
                <w:rFonts w:ascii="Times New Roman" w:hAnsi="Times New Roman" w:eastAsia="Times New Roman"/>
                <w:sz w:val="21"/>
              </w:rPr>
              <w:t>pH </w:t>
            </w:r>
            <w:r>
              <w:rPr>
                <w:sz w:val="21"/>
              </w:rPr>
              <w:t>值</w:t>
            </w:r>
            <w:r>
              <w:rPr>
                <w:rFonts w:ascii="Times New Roman" w:hAnsi="Times New Roman" w:eastAsia="Times New Roman"/>
                <w:spacing w:val="-1"/>
                <w:sz w:val="21"/>
              </w:rPr>
              <w:t>: </w:t>
            </w:r>
            <w:r>
              <w:rPr>
                <w:spacing w:val="-10"/>
                <w:sz w:val="21"/>
              </w:rPr>
              <w:t>无资料 熔点</w:t>
            </w:r>
            <w:r>
              <w:rPr>
                <w:rFonts w:ascii="Times New Roman" w:hAnsi="Times New Roman" w:eastAsia="Times New Roman"/>
                <w:sz w:val="21"/>
              </w:rPr>
              <w:t>(</w:t>
            </w:r>
            <w:r>
              <w:rPr>
                <w:sz w:val="21"/>
              </w:rPr>
              <w:t>℃</w:t>
            </w:r>
            <w:r>
              <w:rPr>
                <w:rFonts w:ascii="Times New Roman" w:hAnsi="Times New Roman" w:eastAsia="Times New Roman"/>
                <w:sz w:val="21"/>
              </w:rPr>
              <w:t>): -17 </w:t>
            </w:r>
            <w:r>
              <w:rPr>
                <w:sz w:val="21"/>
              </w:rPr>
              <w:t>沸点</w:t>
            </w:r>
            <w:r>
              <w:rPr>
                <w:rFonts w:ascii="Times New Roman" w:hAnsi="Times New Roman" w:eastAsia="Times New Roman"/>
                <w:sz w:val="21"/>
              </w:rPr>
              <w:t>(</w:t>
            </w:r>
            <w:r>
              <w:rPr>
                <w:sz w:val="21"/>
              </w:rPr>
              <w:t>℃</w:t>
            </w:r>
            <w:r>
              <w:rPr>
                <w:rFonts w:ascii="Times New Roman" w:hAnsi="Times New Roman" w:eastAsia="Times New Roman"/>
                <w:sz w:val="21"/>
              </w:rPr>
              <w:t>): 197.5 </w:t>
            </w:r>
            <w:r>
              <w:rPr>
                <w:spacing w:val="44"/>
                <w:sz w:val="21"/>
              </w:rPr>
              <w:t>相对密度</w:t>
            </w:r>
            <w:r>
              <w:rPr>
                <w:rFonts w:ascii="Times New Roman" w:hAnsi="Times New Roman" w:eastAsia="Times New Roman"/>
                <w:spacing w:val="-3"/>
                <w:sz w:val="21"/>
              </w:rPr>
              <w:t>( </w:t>
            </w:r>
            <w:r>
              <w:rPr>
                <w:spacing w:val="43"/>
                <w:sz w:val="21"/>
              </w:rPr>
              <w:t>水</w:t>
            </w:r>
            <w:r>
              <w:rPr>
                <w:rFonts w:ascii="Times New Roman" w:hAnsi="Times New Roman" w:eastAsia="Times New Roman"/>
                <w:sz w:val="21"/>
              </w:rPr>
              <w:t>=1): </w:t>
            </w:r>
            <w:r>
              <w:rPr>
                <w:rFonts w:ascii="Times New Roman" w:hAnsi="Times New Roman" w:eastAsia="Times New Roman"/>
                <w:spacing w:val="-3"/>
                <w:sz w:val="21"/>
              </w:rPr>
              <w:t>1.11 </w:t>
            </w:r>
            <w:r>
              <w:rPr>
                <w:spacing w:val="43"/>
                <w:sz w:val="21"/>
              </w:rPr>
              <w:t>相对蒸气密度</w:t>
            </w:r>
            <w:r>
              <w:rPr>
                <w:rFonts w:ascii="Times New Roman" w:hAnsi="Times New Roman" w:eastAsia="Times New Roman"/>
                <w:spacing w:val="-3"/>
                <w:sz w:val="21"/>
              </w:rPr>
              <w:t>( </w:t>
            </w:r>
            <w:r>
              <w:rPr>
                <w:spacing w:val="43"/>
                <w:sz w:val="21"/>
              </w:rPr>
              <w:t>空气</w:t>
            </w:r>
            <w:r>
              <w:rPr>
                <w:rFonts w:ascii="Times New Roman" w:hAnsi="Times New Roman" w:eastAsia="Times New Roman"/>
                <w:sz w:val="21"/>
              </w:rPr>
              <w:t>=1): 2.14</w:t>
            </w:r>
            <w:r>
              <w:rPr>
                <w:rFonts w:ascii="Times New Roman" w:hAnsi="Times New Roman" w:eastAsia="Times New Roman"/>
                <w:spacing w:val="51"/>
                <w:sz w:val="21"/>
              </w:rPr>
              <w:t> </w:t>
            </w:r>
            <w:r>
              <w:rPr>
                <w:spacing w:val="18"/>
                <w:sz w:val="21"/>
              </w:rPr>
              <w:t>饱和蒸气压 </w:t>
            </w:r>
            <w:r>
              <w:rPr>
                <w:rFonts w:ascii="Times New Roman" w:hAnsi="Times New Roman" w:eastAsia="Times New Roman"/>
                <w:sz w:val="21"/>
              </w:rPr>
              <w:t>(kPa)</w:t>
            </w:r>
            <w:r>
              <w:rPr>
                <w:rFonts w:ascii="Times New Roman" w:hAnsi="Times New Roman" w:eastAsia="Times New Roman"/>
                <w:spacing w:val="-1"/>
                <w:sz w:val="21"/>
              </w:rPr>
              <w:t>: </w:t>
            </w:r>
            <w:r>
              <w:rPr>
                <w:rFonts w:ascii="Times New Roman" w:hAnsi="Times New Roman" w:eastAsia="Times New Roman"/>
                <w:sz w:val="21"/>
              </w:rPr>
              <w:t>6.21(20</w:t>
            </w:r>
            <w:r>
              <w:rPr>
                <w:sz w:val="21"/>
              </w:rPr>
              <w:t>℃</w:t>
            </w:r>
            <w:r>
              <w:rPr>
                <w:rFonts w:ascii="Times New Roman" w:hAnsi="Times New Roman" w:eastAsia="Times New Roman"/>
                <w:spacing w:val="25"/>
                <w:sz w:val="21"/>
              </w:rPr>
              <w:t>) </w:t>
            </w:r>
            <w:r>
              <w:rPr>
                <w:spacing w:val="29"/>
                <w:sz w:val="21"/>
              </w:rPr>
              <w:t>燃烧热</w:t>
            </w:r>
            <w:r>
              <w:rPr>
                <w:rFonts w:ascii="Times New Roman" w:hAnsi="Times New Roman" w:eastAsia="Times New Roman"/>
                <w:spacing w:val="29"/>
                <w:sz w:val="21"/>
              </w:rPr>
              <w:t>(kJ/mol</w:t>
            </w:r>
            <w:r>
              <w:rPr>
                <w:rFonts w:ascii="Times New Roman" w:hAnsi="Times New Roman" w:eastAsia="Times New Roman"/>
                <w:spacing w:val="20"/>
                <w:sz w:val="21"/>
              </w:rPr>
              <w:t>): </w:t>
            </w:r>
            <w:r>
              <w:rPr>
                <w:rFonts w:ascii="Times New Roman" w:hAnsi="Times New Roman" w:eastAsia="Times New Roman"/>
                <w:sz w:val="21"/>
              </w:rPr>
              <w:t>281.9 </w:t>
            </w:r>
            <w:r>
              <w:rPr>
                <w:spacing w:val="16"/>
                <w:sz w:val="21"/>
              </w:rPr>
              <w:t>临界压力</w:t>
            </w:r>
            <w:r>
              <w:rPr>
                <w:rFonts w:ascii="Times New Roman" w:hAnsi="Times New Roman" w:eastAsia="Times New Roman"/>
                <w:sz w:val="21"/>
              </w:rPr>
              <w:t>(MPa): </w:t>
            </w:r>
            <w:r>
              <w:rPr>
                <w:spacing w:val="8"/>
                <w:sz w:val="21"/>
              </w:rPr>
              <w:t>无资料 辛醇</w:t>
            </w:r>
            <w:r>
              <w:rPr>
                <w:rFonts w:ascii="Times New Roman" w:hAnsi="Times New Roman" w:eastAsia="Times New Roman"/>
                <w:spacing w:val="15"/>
                <w:sz w:val="21"/>
              </w:rPr>
              <w:t>/</w:t>
            </w:r>
            <w:r>
              <w:rPr>
                <w:spacing w:val="16"/>
                <w:sz w:val="21"/>
              </w:rPr>
              <w:t>水分配系数</w:t>
            </w:r>
            <w:r>
              <w:rPr>
                <w:rFonts w:ascii="Times New Roman" w:hAnsi="Times New Roman" w:eastAsia="Times New Roman"/>
                <w:spacing w:val="1"/>
                <w:sz w:val="21"/>
              </w:rPr>
              <w:t>: -</w:t>
            </w:r>
            <w:r>
              <w:rPr>
                <w:rFonts w:ascii="Times New Roman" w:hAnsi="Times New Roman" w:eastAsia="Times New Roman"/>
                <w:spacing w:val="2"/>
                <w:sz w:val="21"/>
              </w:rPr>
              <w:t>1.93</w:t>
            </w:r>
            <w:r>
              <w:rPr>
                <w:spacing w:val="2"/>
                <w:sz w:val="21"/>
              </w:rPr>
              <w:t>～</w:t>
            </w:r>
            <w:r>
              <w:rPr>
                <w:rFonts w:ascii="Times New Roman" w:hAnsi="Times New Roman" w:eastAsia="Times New Roman"/>
                <w:spacing w:val="2"/>
                <w:sz w:val="21"/>
              </w:rPr>
              <w:t>-1.36 </w:t>
            </w:r>
            <w:r>
              <w:rPr>
                <w:spacing w:val="16"/>
                <w:sz w:val="21"/>
              </w:rPr>
              <w:t>闪点</w:t>
            </w:r>
            <w:r>
              <w:rPr>
                <w:rFonts w:ascii="Times New Roman" w:hAnsi="Times New Roman" w:eastAsia="Times New Roman"/>
                <w:sz w:val="21"/>
              </w:rPr>
              <w:t>(</w:t>
            </w:r>
            <w:r>
              <w:rPr>
                <w:sz w:val="21"/>
              </w:rPr>
              <w:t>℃</w:t>
            </w:r>
            <w:r>
              <w:rPr>
                <w:rFonts w:ascii="Times New Roman" w:hAnsi="Times New Roman" w:eastAsia="Times New Roman"/>
                <w:sz w:val="21"/>
              </w:rPr>
              <w:t>): </w:t>
            </w:r>
            <w:r>
              <w:rPr>
                <w:rFonts w:ascii="Times New Roman" w:hAnsi="Times New Roman" w:eastAsia="Times New Roman"/>
                <w:spacing w:val="-3"/>
                <w:sz w:val="21"/>
              </w:rPr>
              <w:t>110 </w:t>
            </w:r>
            <w:r>
              <w:rPr>
                <w:spacing w:val="12"/>
                <w:sz w:val="21"/>
              </w:rPr>
              <w:t>引燃温度</w:t>
            </w:r>
            <w:r>
              <w:rPr>
                <w:rFonts w:ascii="Times New Roman" w:hAnsi="Times New Roman" w:eastAsia="Times New Roman"/>
                <w:spacing w:val="12"/>
                <w:sz w:val="21"/>
              </w:rPr>
              <w:t>(</w:t>
            </w:r>
            <w:r>
              <w:rPr>
                <w:spacing w:val="12"/>
                <w:sz w:val="21"/>
              </w:rPr>
              <w:t>℃</w:t>
            </w:r>
            <w:r>
              <w:rPr>
                <w:rFonts w:ascii="Times New Roman" w:hAnsi="Times New Roman" w:eastAsia="Times New Roman"/>
                <w:spacing w:val="7"/>
                <w:sz w:val="21"/>
              </w:rPr>
              <w:t>): </w:t>
            </w:r>
            <w:r>
              <w:rPr>
                <w:rFonts w:ascii="Times New Roman" w:hAnsi="Times New Roman" w:eastAsia="Times New Roman"/>
                <w:sz w:val="21"/>
              </w:rPr>
              <w:t>398 </w:t>
            </w:r>
            <w:r>
              <w:rPr>
                <w:spacing w:val="-3"/>
                <w:sz w:val="21"/>
              </w:rPr>
              <w:t>爆炸下限</w:t>
            </w:r>
            <w:r>
              <w:rPr>
                <w:rFonts w:ascii="Times New Roman" w:hAnsi="Times New Roman" w:eastAsia="Times New Roman"/>
                <w:sz w:val="21"/>
              </w:rPr>
              <w:t>[</w:t>
            </w:r>
            <w:r>
              <w:rPr>
                <w:sz w:val="21"/>
              </w:rPr>
              <w:t>％</w:t>
            </w:r>
            <w:r>
              <w:rPr>
                <w:rFonts w:ascii="Times New Roman" w:hAnsi="Times New Roman" w:eastAsia="Times New Roman"/>
                <w:sz w:val="21"/>
              </w:rPr>
              <w:t>(V/V</w:t>
            </w:r>
            <w:r>
              <w:rPr>
                <w:rFonts w:ascii="Times New Roman" w:hAnsi="Times New Roman" w:eastAsia="Times New Roman"/>
                <w:spacing w:val="-1"/>
                <w:sz w:val="21"/>
              </w:rPr>
              <w:t>)]: </w:t>
            </w:r>
            <w:r>
              <w:rPr>
                <w:rFonts w:ascii="Times New Roman" w:hAnsi="Times New Roman" w:eastAsia="Times New Roman"/>
                <w:sz w:val="21"/>
              </w:rPr>
              <w:t>3.2 </w:t>
            </w:r>
            <w:r>
              <w:rPr>
                <w:spacing w:val="-2"/>
                <w:sz w:val="21"/>
              </w:rPr>
              <w:t>爆炸上限</w:t>
            </w:r>
            <w:r>
              <w:rPr>
                <w:rFonts w:ascii="Times New Roman" w:hAnsi="Times New Roman" w:eastAsia="Times New Roman"/>
                <w:sz w:val="21"/>
              </w:rPr>
              <w:t>[</w:t>
            </w:r>
            <w:r>
              <w:rPr>
                <w:sz w:val="21"/>
              </w:rPr>
              <w:t>％</w:t>
            </w:r>
            <w:r>
              <w:rPr>
                <w:rFonts w:ascii="Times New Roman" w:hAnsi="Times New Roman" w:eastAsia="Times New Roman"/>
                <w:sz w:val="21"/>
              </w:rPr>
              <w:t>(V/V)]</w:t>
            </w:r>
            <w:r>
              <w:rPr>
                <w:rFonts w:ascii="Times New Roman" w:hAnsi="Times New Roman" w:eastAsia="Times New Roman"/>
                <w:spacing w:val="-1"/>
                <w:sz w:val="21"/>
              </w:rPr>
              <w:t>: </w:t>
            </w:r>
            <w:r>
              <w:rPr>
                <w:rFonts w:ascii="Times New Roman" w:hAnsi="Times New Roman" w:eastAsia="Times New Roman"/>
                <w:sz w:val="21"/>
              </w:rPr>
              <w:t>15.3</w:t>
            </w:r>
          </w:p>
          <w:p>
            <w:pPr>
              <w:pStyle w:val="TableParagraph"/>
              <w:spacing w:before="2"/>
              <w:ind w:left="527"/>
              <w:jc w:val="left"/>
              <w:rPr>
                <w:sz w:val="21"/>
              </w:rPr>
            </w:pPr>
            <w:r>
              <w:rPr>
                <w:sz w:val="21"/>
              </w:rPr>
              <w:t>溶解性：与水混溶，可混溶于乙醇、醚、等。</w:t>
            </w:r>
          </w:p>
          <w:p>
            <w:pPr>
              <w:pStyle w:val="TableParagraph"/>
              <w:spacing w:line="270" w:lineRule="atLeast" w:before="4"/>
              <w:ind w:left="107" w:right="93" w:firstLine="419"/>
              <w:jc w:val="left"/>
              <w:rPr>
                <w:sz w:val="21"/>
              </w:rPr>
            </w:pPr>
            <w:r>
              <w:rPr>
                <w:spacing w:val="-7"/>
                <w:sz w:val="21"/>
              </w:rPr>
              <w:t>主要用途：用于制造树脂、增塑剂、合成纤维、化妆品和炸药</w:t>
            </w:r>
            <w:r>
              <w:rPr>
                <w:rFonts w:ascii="Times New Roman" w:eastAsia="Times New Roman"/>
                <w:spacing w:val="17"/>
                <w:sz w:val="21"/>
              </w:rPr>
              <w:t>, </w:t>
            </w:r>
            <w:r>
              <w:rPr>
                <w:spacing w:val="-5"/>
                <w:sz w:val="21"/>
              </w:rPr>
              <w:t>并用作溶剂、配制发动机的抗冻剂</w:t>
            </w:r>
          </w:p>
        </w:tc>
      </w:tr>
      <w:tr>
        <w:trPr>
          <w:trHeight w:val="1362"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毒理学资料</w:t>
            </w:r>
          </w:p>
          <w:p>
            <w:pPr>
              <w:pStyle w:val="TableParagraph"/>
              <w:spacing w:line="244" w:lineRule="auto" w:before="2"/>
              <w:ind w:left="107" w:right="-15" w:firstLine="419"/>
              <w:jc w:val="left"/>
              <w:rPr>
                <w:sz w:val="21"/>
              </w:rPr>
            </w:pPr>
            <w:r>
              <w:rPr>
                <w:spacing w:val="-9"/>
                <w:sz w:val="21"/>
              </w:rPr>
              <w:t>急性毒性：属低毒类。中毒表现为麻醉、共济失调、粘膜苍白、肌肉痉挛、反射消失、昏迷， </w:t>
            </w:r>
            <w:r>
              <w:rPr>
                <w:spacing w:val="-5"/>
                <w:sz w:val="21"/>
              </w:rPr>
              <w:t>最终因中枢神经系统麻痹而死亡。</w:t>
            </w:r>
          </w:p>
          <w:p>
            <w:pPr>
              <w:pStyle w:val="TableParagraph"/>
              <w:spacing w:line="265" w:lineRule="exact"/>
              <w:ind w:left="527"/>
              <w:jc w:val="left"/>
              <w:rPr>
                <w:rFonts w:ascii="Times New Roman" w:eastAsia="Times New Roman"/>
                <w:sz w:val="21"/>
              </w:rPr>
            </w:pPr>
            <w:r>
              <w:rPr>
                <w:rFonts w:ascii="Times New Roman" w:eastAsia="Times New Roman"/>
                <w:sz w:val="21"/>
              </w:rPr>
              <w:t>LD50</w:t>
            </w:r>
            <w:r>
              <w:rPr>
                <w:sz w:val="21"/>
              </w:rPr>
              <w:t>： 大鼠经口 </w:t>
            </w:r>
            <w:r>
              <w:rPr>
                <w:rFonts w:ascii="Times New Roman" w:eastAsia="Times New Roman"/>
                <w:sz w:val="21"/>
              </w:rPr>
              <w:t>LD50(mg/kg): 4700 </w:t>
            </w:r>
            <w:r>
              <w:rPr>
                <w:sz w:val="21"/>
              </w:rPr>
              <w:t>小鼠经口 </w:t>
            </w:r>
            <w:r>
              <w:rPr>
                <w:rFonts w:ascii="Times New Roman" w:eastAsia="Times New Roman"/>
                <w:sz w:val="21"/>
              </w:rPr>
              <w:t>LD50(mg/kg): 5500</w:t>
            </w:r>
          </w:p>
          <w:p>
            <w:pPr>
              <w:pStyle w:val="TableParagraph"/>
              <w:spacing w:line="252" w:lineRule="exact" w:before="4"/>
              <w:ind w:left="527"/>
              <w:jc w:val="left"/>
              <w:rPr>
                <w:rFonts w:ascii="Times New Roman" w:eastAsia="Times New Roman"/>
                <w:sz w:val="21"/>
              </w:rPr>
            </w:pPr>
            <w:r>
              <w:rPr>
                <w:sz w:val="21"/>
              </w:rPr>
              <w:t>兔经皮 </w:t>
            </w:r>
            <w:r>
              <w:rPr>
                <w:rFonts w:ascii="Times New Roman" w:eastAsia="Times New Roman"/>
                <w:sz w:val="21"/>
              </w:rPr>
              <w:t>LD50(mg/kg): 9.53ml/kg</w:t>
            </w:r>
          </w:p>
        </w:tc>
      </w:tr>
      <w:tr>
        <w:trPr>
          <w:trHeight w:val="1089" w:hRule="atLeast"/>
        </w:trPr>
        <w:tc>
          <w:tcPr>
            <w:tcW w:w="9091" w:type="dxa"/>
            <w:tcBorders>
              <w:top w:val="single" w:sz="6" w:space="0" w:color="000000"/>
            </w:tcBorders>
          </w:tcPr>
          <w:p>
            <w:pPr>
              <w:pStyle w:val="TableParagraph"/>
              <w:spacing w:before="1"/>
              <w:ind w:left="107"/>
              <w:jc w:val="left"/>
              <w:rPr>
                <w:b/>
                <w:sz w:val="21"/>
              </w:rPr>
            </w:pPr>
            <w:r>
              <w:rPr>
                <w:b/>
                <w:sz w:val="21"/>
              </w:rPr>
              <w:t>运输信息</w:t>
            </w:r>
          </w:p>
          <w:p>
            <w:pPr>
              <w:pStyle w:val="TableParagraph"/>
              <w:spacing w:line="242" w:lineRule="auto" w:before="2"/>
              <w:ind w:left="107" w:right="90" w:firstLine="419"/>
              <w:jc w:val="left"/>
              <w:rPr>
                <w:sz w:val="21"/>
              </w:rPr>
            </w:pPr>
            <w:r>
              <w:rPr>
                <w:sz w:val="21"/>
              </w:rPr>
              <w:t>运输注意事项：运输前应先检查包装容器是否完整、密封，运输过程中要确保容器不泄漏、不倒塌、不坠落、不损坏。严禁与氧化剂、酸类、等混装混运。船运时，应与机舱、电源、火源</w:t>
            </w:r>
          </w:p>
          <w:p>
            <w:pPr>
              <w:pStyle w:val="TableParagraph"/>
              <w:spacing w:line="252" w:lineRule="exact" w:before="1"/>
              <w:ind w:left="107"/>
              <w:jc w:val="left"/>
              <w:rPr>
                <w:sz w:val="21"/>
              </w:rPr>
            </w:pPr>
            <w:r>
              <w:rPr>
                <w:sz w:val="21"/>
              </w:rPr>
              <w:t>等部位隔离。公路运输时要按规定路线行驶</w:t>
            </w:r>
          </w:p>
        </w:tc>
      </w:tr>
    </w:tbl>
    <w:p>
      <w:pPr>
        <w:tabs>
          <w:tab w:pos="1480" w:val="left" w:leader="none"/>
        </w:tabs>
        <w:spacing w:line="357" w:lineRule="exact" w:before="0"/>
        <w:ind w:left="0" w:right="1" w:firstLine="0"/>
        <w:jc w:val="center"/>
        <w:rPr>
          <w:b/>
          <w:sz w:val="28"/>
        </w:rPr>
      </w:pPr>
      <w:r>
        <w:rPr>
          <w:b/>
          <w:sz w:val="28"/>
        </w:rPr>
        <w:t>表</w:t>
      </w:r>
      <w:r>
        <w:rPr>
          <w:b/>
          <w:spacing w:val="-70"/>
          <w:sz w:val="28"/>
        </w:rPr>
        <w:t> </w:t>
      </w:r>
      <w:r>
        <w:rPr>
          <w:b/>
          <w:sz w:val="28"/>
        </w:rPr>
        <w:t>3-1-6</w:t>
        <w:tab/>
        <w:t>1,2-丙二醇的理化性质及危险特性表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815"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tabs>
                <w:tab w:pos="7053" w:val="left" w:leader="none"/>
              </w:tabs>
              <w:spacing w:before="2"/>
              <w:ind w:left="527"/>
              <w:jc w:val="left"/>
              <w:rPr>
                <w:sz w:val="21"/>
              </w:rPr>
            </w:pPr>
            <w:r>
              <w:rPr>
                <w:sz w:val="21"/>
              </w:rPr>
              <w:t>化学</w:t>
            </w:r>
            <w:r>
              <w:rPr>
                <w:spacing w:val="-3"/>
                <w:sz w:val="21"/>
              </w:rPr>
              <w:t>品</w:t>
            </w:r>
            <w:r>
              <w:rPr>
                <w:sz w:val="21"/>
              </w:rPr>
              <w:t>中</w:t>
            </w:r>
            <w:r>
              <w:rPr>
                <w:spacing w:val="-3"/>
                <w:sz w:val="21"/>
              </w:rPr>
              <w:t>文</w:t>
            </w:r>
            <w:r>
              <w:rPr>
                <w:sz w:val="21"/>
              </w:rPr>
              <w:t>名称</w:t>
            </w:r>
            <w:r>
              <w:rPr>
                <w:spacing w:val="-17"/>
                <w:sz w:val="21"/>
              </w:rPr>
              <w:t>：</w:t>
            </w:r>
            <w:r>
              <w:rPr>
                <w:rFonts w:ascii="Times New Roman" w:eastAsia="Times New Roman"/>
                <w:spacing w:val="-17"/>
                <w:sz w:val="21"/>
              </w:rPr>
              <w:t>1,2-</w:t>
            </w:r>
            <w:r>
              <w:rPr>
                <w:sz w:val="21"/>
              </w:rPr>
              <w:t>丙</w:t>
            </w:r>
            <w:r>
              <w:rPr>
                <w:spacing w:val="-3"/>
                <w:sz w:val="21"/>
              </w:rPr>
              <w:t>二</w:t>
            </w:r>
            <w:r>
              <w:rPr>
                <w:sz w:val="21"/>
              </w:rPr>
              <w:t>醇</w:t>
            </w:r>
            <w:r>
              <w:rPr>
                <w:spacing w:val="-47"/>
                <w:sz w:val="21"/>
              </w:rPr>
              <w:t> </w:t>
            </w:r>
            <w:r>
              <w:rPr>
                <w:spacing w:val="-3"/>
                <w:sz w:val="21"/>
              </w:rPr>
              <w:t>化</w:t>
            </w:r>
            <w:r>
              <w:rPr>
                <w:sz w:val="21"/>
              </w:rPr>
              <w:t>学</w:t>
            </w:r>
            <w:r>
              <w:rPr>
                <w:spacing w:val="-3"/>
                <w:sz w:val="21"/>
              </w:rPr>
              <w:t>品</w:t>
            </w:r>
            <w:r>
              <w:rPr>
                <w:sz w:val="21"/>
              </w:rPr>
              <w:t>英</w:t>
            </w:r>
            <w:r>
              <w:rPr>
                <w:spacing w:val="-3"/>
                <w:sz w:val="21"/>
              </w:rPr>
              <w:t>文</w:t>
            </w:r>
            <w:r>
              <w:rPr>
                <w:sz w:val="21"/>
              </w:rPr>
              <w:t>名称</w:t>
            </w:r>
            <w:r>
              <w:rPr>
                <w:spacing w:val="-13"/>
                <w:sz w:val="21"/>
              </w:rPr>
              <w:t>：</w:t>
            </w:r>
            <w:r>
              <w:rPr>
                <w:rFonts w:ascii="Times New Roman" w:eastAsia="Times New Roman"/>
                <w:spacing w:val="-13"/>
                <w:sz w:val="21"/>
              </w:rPr>
              <w:t>1</w:t>
            </w:r>
            <w:r>
              <w:rPr>
                <w:spacing w:val="-13"/>
                <w:sz w:val="21"/>
              </w:rPr>
              <w:t>，</w:t>
            </w:r>
            <w:r>
              <w:rPr>
                <w:rFonts w:ascii="Times New Roman" w:eastAsia="Times New Roman"/>
                <w:spacing w:val="-13"/>
                <w:sz w:val="21"/>
              </w:rPr>
              <w:t>2-Propylene </w:t>
            </w:r>
            <w:r>
              <w:rPr>
                <w:rFonts w:ascii="Times New Roman" w:eastAsia="Times New Roman"/>
                <w:spacing w:val="25"/>
                <w:sz w:val="21"/>
              </w:rPr>
              <w:t> </w:t>
            </w:r>
            <w:r>
              <w:rPr>
                <w:rFonts w:ascii="Times New Roman" w:eastAsia="Times New Roman"/>
                <w:sz w:val="21"/>
              </w:rPr>
              <w:t>Glycol</w:t>
              <w:tab/>
              <w:t>CAS </w:t>
            </w:r>
            <w:r>
              <w:rPr>
                <w:rFonts w:ascii="Times New Roman" w:eastAsia="Times New Roman"/>
                <w:spacing w:val="-9"/>
                <w:sz w:val="21"/>
              </w:rPr>
              <w:t>NO</w:t>
            </w:r>
            <w:r>
              <w:rPr>
                <w:spacing w:val="-9"/>
                <w:sz w:val="21"/>
              </w:rPr>
              <w:t>：</w:t>
            </w:r>
            <w:r>
              <w:rPr>
                <w:rFonts w:ascii="Times New Roman" w:eastAsia="Times New Roman"/>
                <w:spacing w:val="-9"/>
                <w:sz w:val="21"/>
              </w:rPr>
              <w:t>616-38-6</w:t>
            </w:r>
            <w:r>
              <w:rPr>
                <w:rFonts w:ascii="Times New Roman" w:eastAsia="Times New Roman"/>
                <w:spacing w:val="8"/>
                <w:sz w:val="21"/>
              </w:rPr>
              <w:t> </w:t>
            </w:r>
            <w:r>
              <w:rPr>
                <w:sz w:val="21"/>
              </w:rPr>
              <w:t>分</w:t>
            </w:r>
          </w:p>
          <w:p>
            <w:pPr>
              <w:pStyle w:val="TableParagraph"/>
              <w:tabs>
                <w:tab w:pos="1970" w:val="left" w:leader="none"/>
              </w:tabs>
              <w:spacing w:line="250" w:lineRule="exact" w:before="4"/>
              <w:ind w:left="107"/>
              <w:jc w:val="left"/>
              <w:rPr>
                <w:rFonts w:ascii="Times New Roman" w:eastAsia="Times New Roman"/>
                <w:sz w:val="21"/>
              </w:rPr>
            </w:pPr>
            <w:r>
              <w:rPr>
                <w:sz w:val="21"/>
              </w:rPr>
              <w:t>子</w:t>
            </w:r>
            <w:r>
              <w:rPr>
                <w:spacing w:val="50"/>
                <w:sz w:val="21"/>
              </w:rPr>
              <w:t>式</w:t>
            </w:r>
            <w:r>
              <w:rPr>
                <w:sz w:val="21"/>
              </w:rPr>
              <w:t>：</w:t>
            </w:r>
            <w:r>
              <w:rPr>
                <w:rFonts w:ascii="Times New Roman" w:eastAsia="Times New Roman"/>
                <w:sz w:val="21"/>
              </w:rPr>
              <w:t>C3H8O2</w:t>
              <w:tab/>
            </w:r>
            <w:r>
              <w:rPr>
                <w:spacing w:val="-3"/>
                <w:sz w:val="21"/>
              </w:rPr>
              <w:t>分子</w:t>
            </w:r>
            <w:r>
              <w:rPr>
                <w:sz w:val="21"/>
              </w:rPr>
              <w:t>量：</w:t>
            </w:r>
            <w:r>
              <w:rPr>
                <w:rFonts w:ascii="Times New Roman" w:eastAsia="Times New Roman"/>
                <w:sz w:val="21"/>
              </w:rPr>
              <w:t>76</w:t>
            </w:r>
          </w:p>
        </w:tc>
      </w:tr>
      <w:tr>
        <w:trPr>
          <w:trHeight w:val="1091"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危险性概述</w:t>
            </w:r>
          </w:p>
          <w:p>
            <w:pPr>
              <w:pStyle w:val="TableParagraph"/>
              <w:spacing w:line="242" w:lineRule="auto" w:before="5"/>
              <w:ind w:left="107" w:right="95" w:firstLine="419"/>
              <w:jc w:val="left"/>
              <w:rPr>
                <w:sz w:val="21"/>
              </w:rPr>
            </w:pPr>
            <w:r>
              <w:rPr>
                <w:spacing w:val="-10"/>
                <w:sz w:val="21"/>
              </w:rPr>
              <w:t>危险性类别：该品属微毒物质，对人、眼无刺激和损害，对皮肤无明显 的刺激作用。 侵入途</w:t>
            </w:r>
            <w:r>
              <w:rPr>
                <w:spacing w:val="-13"/>
                <w:sz w:val="21"/>
              </w:rPr>
              <w:t>径： 健康危害： 环境危害：</w:t>
            </w:r>
          </w:p>
          <w:p>
            <w:pPr>
              <w:pStyle w:val="TableParagraph"/>
              <w:spacing w:line="252" w:lineRule="exact" w:before="1"/>
              <w:ind w:left="527"/>
              <w:jc w:val="left"/>
              <w:rPr>
                <w:sz w:val="21"/>
              </w:rPr>
            </w:pPr>
            <w:r>
              <w:rPr>
                <w:sz w:val="21"/>
              </w:rPr>
              <w:t>燃爆危险：本品不燃</w:t>
            </w:r>
          </w:p>
        </w:tc>
      </w:tr>
      <w:tr>
        <w:trPr>
          <w:trHeight w:val="815"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急救措施</w:t>
            </w:r>
          </w:p>
          <w:p>
            <w:pPr>
              <w:pStyle w:val="TableParagraph"/>
              <w:spacing w:before="2"/>
              <w:ind w:left="527"/>
              <w:jc w:val="left"/>
              <w:rPr>
                <w:sz w:val="21"/>
              </w:rPr>
            </w:pPr>
            <w:r>
              <w:rPr>
                <w:sz w:val="21"/>
              </w:rPr>
              <w:t>皮肤接触：脱去被污染的衣着，用肥皂水或清水盐水彻底冲洗皮肤。 眼睛接触：提起眼睑，</w:t>
            </w:r>
          </w:p>
          <w:p>
            <w:pPr>
              <w:pStyle w:val="TableParagraph"/>
              <w:spacing w:line="250" w:lineRule="exact" w:before="4"/>
              <w:ind w:left="107"/>
              <w:jc w:val="left"/>
              <w:rPr>
                <w:sz w:val="21"/>
              </w:rPr>
            </w:pPr>
            <w:r>
              <w:rPr>
                <w:sz w:val="21"/>
              </w:rPr>
              <w:t>用流动清水或生理盐水彻底冲洗就医。</w:t>
            </w:r>
          </w:p>
        </w:tc>
      </w:tr>
      <w:tr>
        <w:trPr>
          <w:trHeight w:val="1089"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消防措施</w:t>
            </w:r>
          </w:p>
          <w:p>
            <w:pPr>
              <w:pStyle w:val="TableParagraph"/>
              <w:spacing w:before="4"/>
              <w:ind w:left="527"/>
              <w:jc w:val="left"/>
              <w:rPr>
                <w:sz w:val="21"/>
              </w:rPr>
            </w:pPr>
            <w:r>
              <w:rPr>
                <w:sz w:val="21"/>
              </w:rPr>
              <w:t>危险特性：</w:t>
            </w:r>
          </w:p>
          <w:p>
            <w:pPr>
              <w:pStyle w:val="TableParagraph"/>
              <w:spacing w:before="2"/>
              <w:ind w:left="527"/>
              <w:jc w:val="left"/>
              <w:rPr>
                <w:sz w:val="21"/>
              </w:rPr>
            </w:pPr>
            <w:r>
              <w:rPr>
                <w:sz w:val="21"/>
              </w:rPr>
              <w:t>有害燃烧产物：</w:t>
            </w:r>
          </w:p>
          <w:p>
            <w:pPr>
              <w:pStyle w:val="TableParagraph"/>
              <w:spacing w:line="250" w:lineRule="exact" w:before="5"/>
              <w:ind w:left="527"/>
              <w:jc w:val="left"/>
              <w:rPr>
                <w:sz w:val="21"/>
              </w:rPr>
            </w:pPr>
            <w:r>
              <w:rPr>
                <w:sz w:val="21"/>
              </w:rPr>
              <w:t>灭火方法：用灭火剂、干粉、二氧化碳、泡沫、沙土</w:t>
            </w:r>
          </w:p>
        </w:tc>
      </w:tr>
      <w:tr>
        <w:trPr>
          <w:trHeight w:val="817" w:hRule="atLeast"/>
        </w:trPr>
        <w:tc>
          <w:tcPr>
            <w:tcW w:w="9091" w:type="dxa"/>
            <w:tcBorders>
              <w:top w:val="single" w:sz="6" w:space="0" w:color="000000"/>
            </w:tcBorders>
          </w:tcPr>
          <w:p>
            <w:pPr>
              <w:pStyle w:val="TableParagraph"/>
              <w:spacing w:before="1"/>
              <w:ind w:left="107"/>
              <w:jc w:val="left"/>
              <w:rPr>
                <w:b/>
                <w:sz w:val="21"/>
              </w:rPr>
            </w:pPr>
            <w:r>
              <w:rPr>
                <w:b/>
                <w:sz w:val="21"/>
              </w:rPr>
              <w:t>泄漏应急处理</w:t>
            </w:r>
          </w:p>
          <w:p>
            <w:pPr>
              <w:pStyle w:val="TableParagraph"/>
              <w:spacing w:line="270" w:lineRule="atLeast" w:before="3"/>
              <w:ind w:left="107" w:right="95" w:firstLine="434"/>
              <w:jc w:val="left"/>
              <w:rPr>
                <w:sz w:val="21"/>
              </w:rPr>
            </w:pPr>
            <w:r>
              <w:rPr>
                <w:sz w:val="21"/>
              </w:rPr>
              <w:t>迅速撤离污染区人员至安全区，并进行隔离、严格限制，出入不要直接接触泄漏物，尽可能切断电源，防止进入下水道，排污沟等，限制性空间</w:t>
            </w:r>
          </w:p>
        </w:tc>
      </w:tr>
    </w:tbl>
    <w:p>
      <w:pPr>
        <w:spacing w:after="0" w:line="270" w:lineRule="atLeast"/>
        <w:jc w:val="left"/>
        <w:rPr>
          <w:sz w:val="21"/>
        </w:rPr>
        <w:sectPr>
          <w:pgSz w:w="11910" w:h="16840"/>
          <w:pgMar w:header="0" w:footer="952" w:top="1580" w:bottom="1180" w:left="1240" w:right="1240"/>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633" w:hRule="atLeast"/>
        </w:trPr>
        <w:tc>
          <w:tcPr>
            <w:tcW w:w="9091" w:type="dxa"/>
            <w:tcBorders>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2"/>
              <w:ind w:left="482"/>
              <w:jc w:val="left"/>
              <w:rPr>
                <w:sz w:val="21"/>
              </w:rPr>
            </w:pPr>
            <w:r>
              <w:rPr>
                <w:sz w:val="21"/>
              </w:rPr>
              <w:t>工程控制：生产过程密闭，加强通风。</w:t>
            </w:r>
          </w:p>
          <w:p>
            <w:pPr>
              <w:pStyle w:val="TableParagraph"/>
              <w:spacing w:line="242" w:lineRule="auto" w:before="4"/>
              <w:ind w:left="107" w:right="95" w:firstLine="374"/>
              <w:jc w:val="left"/>
              <w:rPr>
                <w:sz w:val="21"/>
              </w:rPr>
            </w:pPr>
            <w:r>
              <w:rPr>
                <w:sz w:val="21"/>
              </w:rPr>
              <w:t>呼吸系统防护：空气中浓度超标时，佩戴自吸式过滤式防毒面具（半面） 眼睛防护：穿防静电工作服，戴防护眼镜。 身体防护：</w:t>
            </w:r>
          </w:p>
          <w:p>
            <w:pPr>
              <w:pStyle w:val="TableParagraph"/>
              <w:spacing w:before="2"/>
              <w:ind w:left="482"/>
              <w:jc w:val="left"/>
              <w:rPr>
                <w:sz w:val="21"/>
              </w:rPr>
            </w:pPr>
            <w:r>
              <w:rPr>
                <w:sz w:val="21"/>
              </w:rPr>
              <w:t>手防护：戴防滑耐油手套。</w:t>
            </w:r>
          </w:p>
          <w:p>
            <w:pPr>
              <w:pStyle w:val="TableParagraph"/>
              <w:spacing w:line="252" w:lineRule="exact" w:before="2"/>
              <w:ind w:left="482"/>
              <w:jc w:val="left"/>
              <w:rPr>
                <w:sz w:val="21"/>
              </w:rPr>
            </w:pPr>
            <w:r>
              <w:rPr>
                <w:sz w:val="21"/>
              </w:rPr>
              <w:t>其他防护：工作现场禁止吸烟，工作毕，特别注意眼和呼吸道的防护</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before="2"/>
              <w:ind w:left="527"/>
              <w:jc w:val="left"/>
              <w:rPr>
                <w:sz w:val="21"/>
              </w:rPr>
            </w:pPr>
            <w:r>
              <w:rPr>
                <w:sz w:val="21"/>
              </w:rPr>
              <w:t>操作注意事项：</w:t>
            </w:r>
          </w:p>
          <w:p>
            <w:pPr>
              <w:pStyle w:val="TableParagraph"/>
              <w:spacing w:line="242" w:lineRule="auto" w:before="4"/>
              <w:ind w:left="107" w:right="90" w:firstLine="419"/>
              <w:jc w:val="both"/>
              <w:rPr>
                <w:sz w:val="21"/>
              </w:rPr>
            </w:pPr>
            <w:r>
              <w:rPr>
                <w:sz w:val="21"/>
              </w:rPr>
              <w:t>储存注意事项：储存于阴凉、干燥、良好的不燃舱内，远离火种、热源、舱内温度不易超过</w:t>
            </w:r>
            <w:r>
              <w:rPr>
                <w:rFonts w:ascii="Times New Roman" w:eastAsia="Times New Roman"/>
                <w:sz w:val="21"/>
              </w:rPr>
              <w:t>10 </w:t>
            </w:r>
            <w:r>
              <w:rPr>
                <w:sz w:val="21"/>
              </w:rPr>
              <w:t>度，防止阳光直射，保持容器密封，应与氧化剂分开存放，储存间内的照明、通风等设施应采用防爆型，开关设在仓外罐储时应有防火、防爆技术措施，禁止使用易产生火花的机械设备和工</w:t>
            </w:r>
          </w:p>
          <w:p>
            <w:pPr>
              <w:pStyle w:val="TableParagraph"/>
              <w:spacing w:line="252" w:lineRule="exact" w:before="1"/>
              <w:ind w:left="107"/>
              <w:jc w:val="left"/>
              <w:rPr>
                <w:sz w:val="21"/>
              </w:rPr>
            </w:pPr>
            <w:r>
              <w:rPr>
                <w:sz w:val="21"/>
              </w:rPr>
              <w:t>具，搬运进要轻装轻卸，防止包装及容器损坏</w:t>
            </w:r>
          </w:p>
        </w:tc>
      </w:tr>
      <w:tr>
        <w:trPr>
          <w:trHeight w:val="1633"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理化特性</w:t>
            </w:r>
          </w:p>
          <w:p>
            <w:pPr>
              <w:pStyle w:val="TableParagraph"/>
              <w:spacing w:before="3"/>
              <w:ind w:left="527" w:right="-15"/>
              <w:jc w:val="left"/>
              <w:rPr>
                <w:sz w:val="21"/>
              </w:rPr>
            </w:pPr>
            <w:r>
              <w:rPr>
                <w:spacing w:val="-4"/>
                <w:w w:val="100"/>
                <w:sz w:val="21"/>
              </w:rPr>
              <w:t>主要成分：</w:t>
            </w:r>
            <w:r>
              <w:rPr>
                <w:rFonts w:ascii="Times New Roman" w:hAnsi="Times New Roman" w:eastAsia="Times New Roman"/>
                <w:spacing w:val="-3"/>
                <w:w w:val="100"/>
                <w:sz w:val="21"/>
              </w:rPr>
              <w:t>1</w:t>
            </w:r>
            <w:r>
              <w:rPr>
                <w:spacing w:val="-10"/>
                <w:w w:val="100"/>
                <w:sz w:val="21"/>
              </w:rPr>
              <w:t>，</w:t>
            </w:r>
            <w:r>
              <w:rPr>
                <w:rFonts w:ascii="Times New Roman" w:hAnsi="Times New Roman" w:eastAsia="Times New Roman"/>
                <w:w w:val="100"/>
                <w:sz w:val="21"/>
              </w:rPr>
              <w:t>2</w:t>
            </w:r>
            <w:r>
              <w:rPr>
                <w:rFonts w:ascii="Times New Roman" w:hAnsi="Times New Roman" w:eastAsia="Times New Roman"/>
                <w:sz w:val="21"/>
              </w:rPr>
              <w:t> </w:t>
            </w:r>
            <w:r>
              <w:rPr>
                <w:spacing w:val="-6"/>
                <w:w w:val="100"/>
                <w:sz w:val="21"/>
              </w:rPr>
              <w:t>丙二醇外观与性状：无色透明或淡黄色粘稠状的液体，有苦味。熔点</w:t>
            </w:r>
            <w:r>
              <w:rPr>
                <w:spacing w:val="-3"/>
                <w:w w:val="100"/>
                <w:sz w:val="21"/>
              </w:rPr>
              <w:t>（</w:t>
            </w:r>
            <w:r>
              <w:rPr>
                <w:w w:val="100"/>
                <w:sz w:val="21"/>
              </w:rPr>
              <w:t>℃</w:t>
            </w:r>
            <w:r>
              <w:rPr>
                <w:spacing w:val="-106"/>
                <w:w w:val="100"/>
                <w:sz w:val="21"/>
              </w:rPr>
              <w:t>）</w:t>
            </w:r>
            <w:r>
              <w:rPr>
                <w:w w:val="100"/>
                <w:sz w:val="21"/>
              </w:rPr>
              <w:t>：</w:t>
            </w:r>
          </w:p>
          <w:p>
            <w:pPr>
              <w:pStyle w:val="TableParagraph"/>
              <w:spacing w:line="242" w:lineRule="auto" w:before="4"/>
              <w:ind w:left="107" w:right="-15"/>
              <w:jc w:val="left"/>
              <w:rPr>
                <w:sz w:val="21"/>
              </w:rPr>
            </w:pPr>
            <w:r>
              <w:rPr>
                <w:rFonts w:ascii="Times New Roman" w:hAnsi="Times New Roman" w:eastAsia="Times New Roman"/>
                <w:spacing w:val="-4"/>
                <w:w w:val="100"/>
                <w:sz w:val="21"/>
              </w:rPr>
              <w:t>-</w:t>
            </w:r>
            <w:r>
              <w:rPr>
                <w:rFonts w:ascii="Times New Roman" w:hAnsi="Times New Roman" w:eastAsia="Times New Roman"/>
                <w:w w:val="100"/>
                <w:sz w:val="21"/>
              </w:rPr>
              <w:t>60</w:t>
            </w:r>
            <w:r>
              <w:rPr>
                <w:w w:val="100"/>
                <w:sz w:val="21"/>
              </w:rPr>
              <w:t>℃</w:t>
            </w:r>
            <w:r>
              <w:rPr>
                <w:spacing w:val="-53"/>
                <w:sz w:val="21"/>
              </w:rPr>
              <w:t> </w:t>
            </w:r>
            <w:r>
              <w:rPr>
                <w:spacing w:val="-14"/>
                <w:w w:val="100"/>
                <w:sz w:val="21"/>
              </w:rPr>
              <w:t>沸点</w:t>
            </w:r>
            <w:r>
              <w:rPr>
                <w:spacing w:val="-3"/>
                <w:w w:val="100"/>
                <w:sz w:val="21"/>
              </w:rPr>
              <w:t>（</w:t>
            </w:r>
            <w:r>
              <w:rPr>
                <w:w w:val="100"/>
                <w:sz w:val="21"/>
              </w:rPr>
              <w:t>℃</w:t>
            </w:r>
            <w:r>
              <w:rPr>
                <w:spacing w:val="-106"/>
                <w:w w:val="100"/>
                <w:sz w:val="21"/>
              </w:rPr>
              <w:t>）</w:t>
            </w:r>
            <w:r>
              <w:rPr>
                <w:spacing w:val="-29"/>
                <w:w w:val="100"/>
                <w:sz w:val="21"/>
              </w:rPr>
              <w:t>：</w:t>
            </w:r>
            <w:r>
              <w:rPr>
                <w:rFonts w:ascii="Times New Roman" w:hAnsi="Times New Roman" w:eastAsia="Times New Roman"/>
                <w:w w:val="100"/>
                <w:sz w:val="21"/>
              </w:rPr>
              <w:t>187.</w:t>
            </w:r>
            <w:r>
              <w:rPr>
                <w:rFonts w:ascii="Times New Roman" w:hAnsi="Times New Roman" w:eastAsia="Times New Roman"/>
                <w:spacing w:val="-3"/>
                <w:w w:val="100"/>
                <w:sz w:val="21"/>
              </w:rPr>
              <w:t>2</w:t>
            </w:r>
            <w:r>
              <w:rPr>
                <w:w w:val="100"/>
                <w:sz w:val="21"/>
              </w:rPr>
              <w:t>℃</w:t>
            </w:r>
            <w:r>
              <w:rPr>
                <w:spacing w:val="-55"/>
                <w:sz w:val="21"/>
              </w:rPr>
              <w:t> </w:t>
            </w:r>
            <w:r>
              <w:rPr>
                <w:spacing w:val="-8"/>
                <w:w w:val="100"/>
                <w:sz w:val="21"/>
              </w:rPr>
              <w:t>相对密度</w:t>
            </w:r>
            <w:r>
              <w:rPr>
                <w:spacing w:val="-3"/>
                <w:w w:val="100"/>
                <w:sz w:val="21"/>
              </w:rPr>
              <w:t>（</w:t>
            </w:r>
            <w:r>
              <w:rPr>
                <w:w w:val="100"/>
                <w:sz w:val="21"/>
              </w:rPr>
              <w:t>水</w:t>
            </w:r>
            <w:r>
              <w:rPr>
                <w:rFonts w:ascii="Times New Roman" w:hAnsi="Times New Roman" w:eastAsia="Times New Roman"/>
                <w:spacing w:val="-2"/>
                <w:w w:val="100"/>
                <w:sz w:val="21"/>
              </w:rPr>
              <w:t>=</w:t>
            </w:r>
            <w:r>
              <w:rPr>
                <w:rFonts w:ascii="Times New Roman" w:hAnsi="Times New Roman" w:eastAsia="Times New Roman"/>
                <w:w w:val="100"/>
                <w:sz w:val="21"/>
              </w:rPr>
              <w:t>1</w:t>
            </w:r>
            <w:r>
              <w:rPr>
                <w:spacing w:val="-106"/>
                <w:w w:val="100"/>
                <w:sz w:val="21"/>
              </w:rPr>
              <w:t>）</w:t>
            </w:r>
            <w:r>
              <w:rPr>
                <w:spacing w:val="-27"/>
                <w:w w:val="100"/>
                <w:sz w:val="21"/>
              </w:rPr>
              <w:t>：</w:t>
            </w:r>
            <w:r>
              <w:rPr>
                <w:rFonts w:ascii="Times New Roman" w:hAnsi="Times New Roman" w:eastAsia="Times New Roman"/>
                <w:spacing w:val="-3"/>
                <w:w w:val="100"/>
                <w:sz w:val="21"/>
              </w:rPr>
              <w:t>1</w:t>
            </w:r>
            <w:r>
              <w:rPr>
                <w:rFonts w:ascii="Times New Roman" w:hAnsi="Times New Roman" w:eastAsia="Times New Roman"/>
                <w:w w:val="100"/>
                <w:sz w:val="21"/>
              </w:rPr>
              <w:t>.038</w:t>
            </w:r>
            <w:r>
              <w:rPr>
                <w:rFonts w:ascii="Times New Roman" w:hAnsi="Times New Roman" w:eastAsia="Times New Roman"/>
                <w:spacing w:val="-3"/>
                <w:sz w:val="21"/>
              </w:rPr>
              <w:t> </w:t>
            </w:r>
            <w:r>
              <w:rPr>
                <w:spacing w:val="-7"/>
                <w:w w:val="100"/>
                <w:sz w:val="21"/>
              </w:rPr>
              <w:t>相对蒸气密度</w:t>
            </w:r>
            <w:r>
              <w:rPr>
                <w:spacing w:val="-3"/>
                <w:w w:val="100"/>
                <w:sz w:val="21"/>
              </w:rPr>
              <w:t>（</w:t>
            </w:r>
            <w:r>
              <w:rPr>
                <w:spacing w:val="-2"/>
                <w:w w:val="100"/>
                <w:sz w:val="21"/>
              </w:rPr>
              <w:t>空气</w:t>
            </w:r>
            <w:r>
              <w:rPr>
                <w:rFonts w:ascii="Times New Roman" w:hAnsi="Times New Roman" w:eastAsia="Times New Roman"/>
                <w:w w:val="100"/>
                <w:sz w:val="21"/>
              </w:rPr>
              <w:t>=1</w:t>
            </w:r>
            <w:r>
              <w:rPr>
                <w:spacing w:val="-108"/>
                <w:w w:val="100"/>
                <w:sz w:val="21"/>
              </w:rPr>
              <w:t>）</w:t>
            </w:r>
            <w:r>
              <w:rPr>
                <w:w w:val="100"/>
                <w:sz w:val="21"/>
              </w:rPr>
              <w:t>：</w:t>
            </w:r>
            <w:r>
              <w:rPr>
                <w:spacing w:val="-82"/>
                <w:sz w:val="21"/>
              </w:rPr>
              <w:t> </w:t>
            </w:r>
            <w:r>
              <w:rPr>
                <w:spacing w:val="-7"/>
                <w:w w:val="100"/>
                <w:sz w:val="21"/>
              </w:rPr>
              <w:t>饱和蒸汽压</w:t>
            </w:r>
            <w:r>
              <w:rPr>
                <w:w w:val="100"/>
                <w:sz w:val="21"/>
              </w:rPr>
              <w:t>（</w:t>
            </w:r>
            <w:r>
              <w:rPr>
                <w:rFonts w:ascii="Times New Roman" w:hAnsi="Times New Roman" w:eastAsia="Times New Roman"/>
                <w:spacing w:val="-4"/>
                <w:w w:val="100"/>
                <w:sz w:val="21"/>
              </w:rPr>
              <w:t>K</w:t>
            </w:r>
            <w:r>
              <w:rPr>
                <w:rFonts w:ascii="Times New Roman" w:hAnsi="Times New Roman" w:eastAsia="Times New Roman"/>
                <w:w w:val="100"/>
                <w:sz w:val="21"/>
              </w:rPr>
              <w:t>p</w:t>
            </w:r>
            <w:r>
              <w:rPr>
                <w:rFonts w:ascii="Times New Roman" w:hAnsi="Times New Roman" w:eastAsia="Times New Roman"/>
                <w:spacing w:val="-1"/>
                <w:w w:val="100"/>
                <w:sz w:val="21"/>
              </w:rPr>
              <w:t>a</w:t>
            </w:r>
            <w:r>
              <w:rPr>
                <w:spacing w:val="-106"/>
                <w:w w:val="100"/>
                <w:sz w:val="21"/>
              </w:rPr>
              <w:t>）</w:t>
            </w:r>
            <w:r>
              <w:rPr>
                <w:w w:val="100"/>
                <w:sz w:val="21"/>
              </w:rPr>
              <w:t>： </w:t>
            </w:r>
            <w:r>
              <w:rPr>
                <w:rFonts w:ascii="Times New Roman" w:hAnsi="Times New Roman" w:eastAsia="Times New Roman"/>
                <w:w w:val="100"/>
                <w:sz w:val="21"/>
              </w:rPr>
              <w:t>0.97</w:t>
            </w:r>
            <w:r>
              <w:rPr>
                <w:rFonts w:ascii="Times New Roman" w:hAnsi="Times New Roman" w:eastAsia="Times New Roman"/>
                <w:spacing w:val="-4"/>
                <w:w w:val="100"/>
                <w:sz w:val="21"/>
              </w:rPr>
              <w:t>K</w:t>
            </w:r>
            <w:r>
              <w:rPr>
                <w:rFonts w:ascii="Times New Roman" w:hAnsi="Times New Roman" w:eastAsia="Times New Roman"/>
                <w:w w:val="100"/>
                <w:sz w:val="21"/>
              </w:rPr>
              <w:t>p</w:t>
            </w:r>
            <w:r>
              <w:rPr>
                <w:rFonts w:ascii="Times New Roman" w:hAnsi="Times New Roman" w:eastAsia="Times New Roman"/>
                <w:spacing w:val="-1"/>
                <w:w w:val="100"/>
                <w:sz w:val="21"/>
              </w:rPr>
              <w:t>a</w:t>
            </w:r>
            <w:r>
              <w:rPr>
                <w:w w:val="100"/>
                <w:sz w:val="21"/>
              </w:rPr>
              <w:t>（</w:t>
            </w:r>
            <w:r>
              <w:rPr>
                <w:rFonts w:ascii="Times New Roman" w:hAnsi="Times New Roman" w:eastAsia="Times New Roman"/>
                <w:w w:val="100"/>
                <w:sz w:val="21"/>
              </w:rPr>
              <w:t>0.13</w:t>
            </w:r>
            <w:r>
              <w:rPr>
                <w:rFonts w:ascii="Times New Roman" w:hAnsi="Times New Roman" w:eastAsia="Times New Roman"/>
                <w:spacing w:val="-4"/>
                <w:w w:val="100"/>
                <w:sz w:val="21"/>
              </w:rPr>
              <w:t>mm</w:t>
            </w:r>
            <w:r>
              <w:rPr>
                <w:rFonts w:ascii="Times New Roman" w:hAnsi="Times New Roman" w:eastAsia="Times New Roman"/>
                <w:spacing w:val="2"/>
                <w:w w:val="100"/>
                <w:sz w:val="21"/>
              </w:rPr>
              <w:t>n</w:t>
            </w:r>
            <w:r>
              <w:rPr>
                <w:rFonts w:ascii="Times New Roman" w:hAnsi="Times New Roman" w:eastAsia="Times New Roman"/>
                <w:spacing w:val="-3"/>
                <w:w w:val="100"/>
                <w:sz w:val="21"/>
              </w:rPr>
              <w:t>y</w:t>
            </w:r>
            <w:r>
              <w:rPr>
                <w:w w:val="100"/>
                <w:sz w:val="21"/>
              </w:rPr>
              <w:t>）</w:t>
            </w:r>
            <w:r>
              <w:rPr>
                <w:rFonts w:ascii="Times New Roman" w:hAnsi="Times New Roman" w:eastAsia="Times New Roman"/>
                <w:w w:val="100"/>
                <w:sz w:val="21"/>
              </w:rPr>
              <w:t>(2</w:t>
            </w:r>
            <w:r>
              <w:rPr>
                <w:rFonts w:ascii="Times New Roman" w:hAnsi="Times New Roman" w:eastAsia="Times New Roman"/>
                <w:spacing w:val="1"/>
                <w:w w:val="100"/>
                <w:sz w:val="21"/>
              </w:rPr>
              <w:t>5</w:t>
            </w:r>
            <w:r>
              <w:rPr>
                <w:w w:val="100"/>
                <w:sz w:val="21"/>
              </w:rPr>
              <w:t>℃</w:t>
            </w:r>
            <w:r>
              <w:rPr>
                <w:rFonts w:ascii="Times New Roman" w:hAnsi="Times New Roman" w:eastAsia="Times New Roman"/>
                <w:w w:val="100"/>
                <w:sz w:val="21"/>
              </w:rPr>
              <w:t>)</w:t>
            </w:r>
            <w:r>
              <w:rPr>
                <w:rFonts w:ascii="Times New Roman" w:hAnsi="Times New Roman" w:eastAsia="Times New Roman"/>
                <w:spacing w:val="-1"/>
                <w:sz w:val="21"/>
              </w:rPr>
              <w:t>  </w:t>
            </w:r>
            <w:r>
              <w:rPr>
                <w:w w:val="100"/>
                <w:sz w:val="21"/>
              </w:rPr>
              <w:t>闪点（</w:t>
            </w:r>
            <w:r>
              <w:rPr>
                <w:spacing w:val="-3"/>
                <w:w w:val="100"/>
                <w:sz w:val="21"/>
              </w:rPr>
              <w:t>℃</w:t>
            </w:r>
            <w:r>
              <w:rPr>
                <w:spacing w:val="-104"/>
                <w:w w:val="100"/>
                <w:sz w:val="21"/>
              </w:rPr>
              <w:t>）</w:t>
            </w:r>
            <w:r>
              <w:rPr>
                <w:w w:val="100"/>
                <w:sz w:val="21"/>
              </w:rPr>
              <w:t>：</w:t>
            </w:r>
            <w:r>
              <w:rPr>
                <w:rFonts w:ascii="Times New Roman" w:hAnsi="Times New Roman" w:eastAsia="Times New Roman"/>
                <w:w w:val="100"/>
                <w:sz w:val="21"/>
              </w:rPr>
              <w:t>1</w:t>
            </w:r>
            <w:r>
              <w:rPr>
                <w:rFonts w:ascii="Times New Roman" w:hAnsi="Times New Roman" w:eastAsia="Times New Roman"/>
                <w:spacing w:val="-3"/>
                <w:w w:val="100"/>
                <w:sz w:val="21"/>
              </w:rPr>
              <w:t>2</w:t>
            </w:r>
            <w:r>
              <w:rPr>
                <w:rFonts w:ascii="Times New Roman" w:hAnsi="Times New Roman" w:eastAsia="Times New Roman"/>
                <w:w w:val="100"/>
                <w:sz w:val="21"/>
              </w:rPr>
              <w:t>0</w:t>
            </w:r>
            <w:r>
              <w:rPr>
                <w:w w:val="100"/>
                <w:sz w:val="21"/>
              </w:rPr>
              <w:t>℃</w:t>
            </w:r>
            <w:r>
              <w:rPr>
                <w:spacing w:val="-53"/>
                <w:sz w:val="21"/>
              </w:rPr>
              <w:t> </w:t>
            </w:r>
            <w:r>
              <w:rPr>
                <w:spacing w:val="-3"/>
                <w:w w:val="100"/>
                <w:sz w:val="21"/>
              </w:rPr>
              <w:t>溶解性：溶于水、乙醇、乙醚和多种有机溶剂混</w:t>
            </w:r>
            <w:r>
              <w:rPr>
                <w:spacing w:val="-3"/>
                <w:sz w:val="21"/>
              </w:rPr>
              <w:t>溶。</w:t>
            </w:r>
          </w:p>
          <w:p>
            <w:pPr>
              <w:pStyle w:val="TableParagraph"/>
              <w:spacing w:line="252" w:lineRule="exact" w:before="1"/>
              <w:ind w:left="527"/>
              <w:jc w:val="left"/>
              <w:rPr>
                <w:sz w:val="21"/>
              </w:rPr>
            </w:pPr>
            <w:r>
              <w:rPr>
                <w:sz w:val="21"/>
              </w:rPr>
              <w:t>主要用途：该品为不饱和树脂的原料，也是增塑剂，表面活性剂，乳化剂和破乳剂的原料。</w:t>
            </w:r>
          </w:p>
        </w:tc>
      </w:tr>
      <w:tr>
        <w:trPr>
          <w:trHeight w:val="544"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毒理学资料</w:t>
            </w:r>
          </w:p>
          <w:p>
            <w:pPr>
              <w:pStyle w:val="TableParagraph"/>
              <w:spacing w:line="252" w:lineRule="exact" w:before="2"/>
              <w:ind w:left="527"/>
              <w:jc w:val="left"/>
              <w:rPr>
                <w:sz w:val="21"/>
              </w:rPr>
            </w:pPr>
            <w:r>
              <w:rPr>
                <w:sz w:val="21"/>
              </w:rPr>
              <w:t>急性毒性：微毒</w:t>
            </w:r>
          </w:p>
        </w:tc>
      </w:tr>
      <w:tr>
        <w:trPr>
          <w:trHeight w:val="563" w:hRule="atLeast"/>
        </w:trPr>
        <w:tc>
          <w:tcPr>
            <w:tcW w:w="9091" w:type="dxa"/>
            <w:tcBorders>
              <w:top w:val="single" w:sz="6" w:space="0" w:color="000000"/>
              <w:bottom w:val="single" w:sz="12" w:space="0" w:color="000000"/>
            </w:tcBorders>
          </w:tcPr>
          <w:p>
            <w:pPr>
              <w:pStyle w:val="TableParagraph"/>
              <w:spacing w:before="1"/>
              <w:ind w:left="107"/>
              <w:jc w:val="left"/>
              <w:rPr>
                <w:b/>
                <w:sz w:val="21"/>
              </w:rPr>
            </w:pPr>
            <w:r>
              <w:rPr>
                <w:b/>
                <w:sz w:val="21"/>
              </w:rPr>
              <w:t>运输信息</w:t>
            </w:r>
          </w:p>
          <w:p>
            <w:pPr>
              <w:pStyle w:val="TableParagraph"/>
              <w:spacing w:line="266" w:lineRule="exact" w:before="7"/>
              <w:ind w:left="527"/>
              <w:jc w:val="left"/>
              <w:rPr>
                <w:sz w:val="21"/>
              </w:rPr>
            </w:pPr>
            <w:r>
              <w:rPr>
                <w:sz w:val="21"/>
              </w:rPr>
              <w:t>包装方法：塑料桶或金属桶（罐）外木板箱。</w:t>
            </w:r>
          </w:p>
        </w:tc>
      </w:tr>
    </w:tbl>
    <w:p>
      <w:pPr>
        <w:tabs>
          <w:tab w:pos="1478" w:val="left" w:leader="none"/>
        </w:tabs>
        <w:spacing w:line="357" w:lineRule="exact" w:before="0"/>
        <w:ind w:left="0" w:right="1" w:firstLine="0"/>
        <w:jc w:val="center"/>
        <w:rPr>
          <w:b/>
          <w:sz w:val="28"/>
        </w:rPr>
      </w:pPr>
      <w:r>
        <w:rPr>
          <w:b/>
          <w:sz w:val="28"/>
        </w:rPr>
        <w:t>表</w:t>
      </w:r>
      <w:r>
        <w:rPr>
          <w:b/>
          <w:spacing w:val="-70"/>
          <w:sz w:val="28"/>
        </w:rPr>
        <w:t> </w:t>
      </w:r>
      <w:r>
        <w:rPr>
          <w:b/>
          <w:sz w:val="28"/>
        </w:rPr>
        <w:t>3-1-7</w:t>
        <w:tab/>
        <w:t>乙腈的理化性质及危险特性表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817"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spacing w:before="4"/>
              <w:ind w:left="527"/>
              <w:jc w:val="left"/>
              <w:rPr>
                <w:sz w:val="21"/>
              </w:rPr>
            </w:pPr>
            <w:r>
              <w:rPr>
                <w:sz w:val="21"/>
              </w:rPr>
              <w:t>中文名</w:t>
            </w:r>
            <w:r>
              <w:rPr>
                <w:rFonts w:ascii="Times New Roman" w:eastAsia="Times New Roman"/>
                <w:sz w:val="21"/>
              </w:rPr>
              <w:t>:</w:t>
            </w:r>
            <w:r>
              <w:rPr>
                <w:sz w:val="21"/>
              </w:rPr>
              <w:t>乙腈；甲基腈</w:t>
            </w:r>
          </w:p>
          <w:p>
            <w:pPr>
              <w:pStyle w:val="TableParagraph"/>
              <w:spacing w:line="252" w:lineRule="exact" w:before="2"/>
              <w:ind w:left="527"/>
              <w:jc w:val="left"/>
              <w:rPr>
                <w:rFonts w:ascii="Times New Roman" w:eastAsia="Times New Roman"/>
                <w:sz w:val="21"/>
              </w:rPr>
            </w:pPr>
            <w:r>
              <w:rPr>
                <w:sz w:val="21"/>
              </w:rPr>
              <w:t>英文名：</w:t>
            </w:r>
            <w:r>
              <w:rPr>
                <w:rFonts w:ascii="Times New Roman" w:eastAsia="Times New Roman"/>
                <w:sz w:val="21"/>
              </w:rPr>
              <w:t>acetonitrile</w:t>
            </w:r>
            <w:r>
              <w:rPr>
                <w:sz w:val="21"/>
              </w:rPr>
              <w:t>；</w:t>
            </w:r>
            <w:r>
              <w:rPr>
                <w:rFonts w:ascii="Times New Roman" w:eastAsia="Times New Roman"/>
                <w:sz w:val="21"/>
              </w:rPr>
              <w:t>methyl cyanide </w:t>
            </w:r>
            <w:r>
              <w:rPr>
                <w:sz w:val="21"/>
              </w:rPr>
              <w:t>分子式：</w:t>
            </w:r>
            <w:r>
              <w:rPr>
                <w:rFonts w:ascii="Times New Roman" w:eastAsia="Times New Roman"/>
                <w:sz w:val="21"/>
              </w:rPr>
              <w:t>C2H3N </w:t>
            </w:r>
            <w:r>
              <w:rPr>
                <w:sz w:val="21"/>
              </w:rPr>
              <w:t>相对分子质量：</w:t>
            </w:r>
            <w:r>
              <w:rPr>
                <w:rFonts w:ascii="Times New Roman" w:eastAsia="Times New Roman"/>
                <w:sz w:val="21"/>
              </w:rPr>
              <w:t>41.05 CAS </w:t>
            </w:r>
            <w:r>
              <w:rPr>
                <w:sz w:val="21"/>
              </w:rPr>
              <w:t>号：</w:t>
            </w:r>
            <w:r>
              <w:rPr>
                <w:rFonts w:ascii="Times New Roman" w:eastAsia="Times New Roman"/>
                <w:sz w:val="21"/>
              </w:rPr>
              <w:t>75-05-8</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before="2"/>
              <w:ind w:left="527"/>
              <w:jc w:val="both"/>
              <w:rPr>
                <w:sz w:val="21"/>
              </w:rPr>
            </w:pPr>
            <w:r>
              <w:rPr>
                <w:sz w:val="21"/>
              </w:rPr>
              <w:t>危险性类别：第 </w:t>
            </w:r>
            <w:r>
              <w:rPr>
                <w:rFonts w:ascii="Times New Roman" w:eastAsia="Times New Roman"/>
                <w:sz w:val="21"/>
              </w:rPr>
              <w:t>3.2 </w:t>
            </w:r>
            <w:r>
              <w:rPr>
                <w:sz w:val="21"/>
              </w:rPr>
              <w:t>类 中闪点易燃液体</w:t>
            </w:r>
          </w:p>
          <w:p>
            <w:pPr>
              <w:pStyle w:val="TableParagraph"/>
              <w:spacing w:line="242" w:lineRule="auto" w:before="4"/>
              <w:ind w:left="107" w:right="90" w:firstLine="419"/>
              <w:jc w:val="both"/>
              <w:rPr>
                <w:sz w:val="21"/>
              </w:rPr>
            </w:pPr>
            <w:r>
              <w:rPr>
                <w:spacing w:val="-4"/>
                <w:sz w:val="21"/>
              </w:rPr>
              <w:t>健康危害： 乙腈急性中毒发病较氢氰酸慢，可有数小时潜伏期。主要症状为衰弱、无力、面</w:t>
            </w:r>
            <w:r>
              <w:rPr>
                <w:spacing w:val="-5"/>
                <w:sz w:val="21"/>
              </w:rPr>
              <w:t>色灰白、恶心、呕吐、腹痛、腹泻、胸闷、胸痛；严重者呼吸及循环系统紊乱，呼吸浅、慢而不</w:t>
            </w:r>
            <w:r>
              <w:rPr>
                <w:spacing w:val="-21"/>
                <w:sz w:val="21"/>
              </w:rPr>
              <w:t>规则，血压下降，脉搏细而慢，体温下降，阵发性抽搐，昏迷。可有尿频、蛋白尿等。 环境危害：</w:t>
            </w:r>
          </w:p>
          <w:p>
            <w:pPr>
              <w:pStyle w:val="TableParagraph"/>
              <w:spacing w:line="252" w:lineRule="exact" w:before="1"/>
              <w:ind w:left="527"/>
              <w:jc w:val="left"/>
              <w:rPr>
                <w:sz w:val="21"/>
              </w:rPr>
            </w:pPr>
            <w:r>
              <w:rPr>
                <w:sz w:val="21"/>
              </w:rPr>
              <w:t>燃爆危险： 本品易燃</w:t>
            </w:r>
          </w:p>
        </w:tc>
      </w:tr>
      <w:tr>
        <w:trPr>
          <w:trHeight w:val="1633"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急救措施</w:t>
            </w:r>
          </w:p>
          <w:p>
            <w:pPr>
              <w:pStyle w:val="TableParagraph"/>
              <w:spacing w:line="244" w:lineRule="auto" w:before="3"/>
              <w:ind w:left="107" w:right="93" w:firstLine="419"/>
              <w:jc w:val="left"/>
              <w:rPr>
                <w:sz w:val="21"/>
              </w:rPr>
            </w:pPr>
            <w:r>
              <w:rPr>
                <w:spacing w:val="-8"/>
                <w:sz w:val="21"/>
              </w:rPr>
              <w:t>皮肤接触： 脱去污染的衣着，用肥皂水和清水彻底冲洗皮肤。 眼睛接触： 提起眼睑，用流</w:t>
            </w:r>
            <w:r>
              <w:rPr>
                <w:spacing w:val="-3"/>
                <w:sz w:val="21"/>
              </w:rPr>
              <w:t>动清水或生理盐水冲洗。就医。</w:t>
            </w:r>
          </w:p>
          <w:p>
            <w:pPr>
              <w:pStyle w:val="TableParagraph"/>
              <w:spacing w:line="244" w:lineRule="auto"/>
              <w:ind w:left="107" w:right="49" w:firstLine="419"/>
              <w:jc w:val="left"/>
              <w:rPr>
                <w:sz w:val="21"/>
              </w:rPr>
            </w:pPr>
            <w:r>
              <w:rPr>
                <w:sz w:val="21"/>
              </w:rPr>
              <w:t>吸入： 迅速脱离现场至空气新鲜处。保持呼吸道通畅。如呼吸困难，给输氧。如呼吸停止， 立即进行人工呼吸。就医。</w:t>
            </w:r>
          </w:p>
          <w:p>
            <w:pPr>
              <w:pStyle w:val="TableParagraph"/>
              <w:spacing w:line="248" w:lineRule="exact"/>
              <w:ind w:left="527"/>
              <w:jc w:val="left"/>
              <w:rPr>
                <w:sz w:val="21"/>
              </w:rPr>
            </w:pPr>
            <w:r>
              <w:rPr>
                <w:sz w:val="21"/>
              </w:rPr>
              <w:t>食入： 饮足量温水，催吐。用 </w:t>
            </w:r>
            <w:r>
              <w:rPr>
                <w:rFonts w:ascii="Times New Roman" w:eastAsia="Times New Roman"/>
                <w:sz w:val="21"/>
              </w:rPr>
              <w:t>1:5000 </w:t>
            </w:r>
            <w:r>
              <w:rPr>
                <w:sz w:val="21"/>
              </w:rPr>
              <w:t>高锰酸钾或５％硫代硫酸钠溶液洗胃。就医。</w:t>
            </w:r>
          </w:p>
        </w:tc>
      </w:tr>
      <w:tr>
        <w:trPr>
          <w:trHeight w:val="1633" w:hRule="atLeast"/>
        </w:trPr>
        <w:tc>
          <w:tcPr>
            <w:tcW w:w="9091" w:type="dxa"/>
            <w:tcBorders>
              <w:top w:val="single" w:sz="6" w:space="0" w:color="000000"/>
            </w:tcBorders>
          </w:tcPr>
          <w:p>
            <w:pPr>
              <w:pStyle w:val="TableParagraph"/>
              <w:spacing w:before="1"/>
              <w:ind w:left="107"/>
              <w:jc w:val="left"/>
              <w:rPr>
                <w:b/>
                <w:sz w:val="21"/>
              </w:rPr>
            </w:pPr>
            <w:r>
              <w:rPr>
                <w:b/>
                <w:sz w:val="21"/>
              </w:rPr>
              <w:t>消防措施</w:t>
            </w:r>
          </w:p>
          <w:p>
            <w:pPr>
              <w:pStyle w:val="TableParagraph"/>
              <w:spacing w:line="242" w:lineRule="auto" w:before="2"/>
              <w:ind w:left="107" w:right="-15" w:firstLine="419"/>
              <w:jc w:val="left"/>
              <w:rPr>
                <w:sz w:val="21"/>
              </w:rPr>
            </w:pPr>
            <w:r>
              <w:rPr>
                <w:spacing w:val="-7"/>
                <w:sz w:val="21"/>
              </w:rPr>
              <w:t>危险特性： 易燃，其蒸气与空气可形成爆炸性混合物，遇明火、高热或与氧化剂接触，有引</w:t>
            </w:r>
            <w:r>
              <w:rPr>
                <w:spacing w:val="-10"/>
                <w:sz w:val="21"/>
              </w:rPr>
              <w:t>起燃烧爆炸的危险。与氧化剂能发生强烈反应。燃烧时有发光火焰。与硫酸、发烟硫酸、氯磺酸、</w:t>
            </w:r>
            <w:r>
              <w:rPr>
                <w:spacing w:val="-8"/>
                <w:sz w:val="21"/>
              </w:rPr>
              <w:t>过氯酸盐等反应剧烈。 有害燃烧产物： 一氧化碳、二氧化碳、氧化氮、氰化氢。</w:t>
            </w:r>
          </w:p>
          <w:p>
            <w:pPr>
              <w:pStyle w:val="TableParagraph"/>
              <w:spacing w:line="270" w:lineRule="atLeast" w:before="2"/>
              <w:ind w:left="107" w:right="-15" w:firstLine="419"/>
              <w:jc w:val="left"/>
              <w:rPr>
                <w:sz w:val="21"/>
              </w:rPr>
            </w:pPr>
            <w:r>
              <w:rPr>
                <w:spacing w:val="-13"/>
                <w:sz w:val="21"/>
              </w:rPr>
              <w:t>灭火方法： 喷水冷却容器，可能的话将容器从火场移至空旷处。灭火剂：抗溶性泡沫、干粉、</w:t>
            </w:r>
            <w:r>
              <w:rPr>
                <w:spacing w:val="-6"/>
                <w:sz w:val="21"/>
              </w:rPr>
              <w:t>二氧化碳、砂土。用水灭火无效</w:t>
            </w:r>
          </w:p>
        </w:tc>
      </w:tr>
    </w:tbl>
    <w:p>
      <w:pPr>
        <w:spacing w:after="0" w:line="270" w:lineRule="atLeast"/>
        <w:jc w:val="left"/>
        <w:rPr>
          <w:sz w:val="21"/>
        </w:rPr>
        <w:sectPr>
          <w:pgSz w:w="11910" w:h="16840"/>
          <w:pgMar w:header="0" w:footer="952" w:top="1580" w:bottom="1180" w:left="1240" w:right="1240"/>
        </w:sectPr>
      </w:pPr>
    </w:p>
    <w:p>
      <w:pPr>
        <w:pStyle w:val="BodyText"/>
        <w:rPr>
          <w:rFonts w:ascii="Times New Roman"/>
          <w:sz w:val="9"/>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905" w:hRule="atLeast"/>
        </w:trPr>
        <w:tc>
          <w:tcPr>
            <w:tcW w:w="9091" w:type="dxa"/>
            <w:tcBorders>
              <w:bottom w:val="single" w:sz="6" w:space="0" w:color="000000"/>
            </w:tcBorders>
          </w:tcPr>
          <w:p>
            <w:pPr>
              <w:pStyle w:val="TableParagraph"/>
              <w:spacing w:before="1"/>
              <w:ind w:left="107"/>
              <w:jc w:val="left"/>
              <w:rPr>
                <w:b/>
                <w:sz w:val="21"/>
              </w:rPr>
            </w:pPr>
            <w:r>
              <w:rPr>
                <w:b/>
                <w:sz w:val="21"/>
              </w:rPr>
              <w:t>泄漏应急处理</w:t>
            </w:r>
          </w:p>
          <w:p>
            <w:pPr>
              <w:pStyle w:val="TableParagraph"/>
              <w:spacing w:line="242" w:lineRule="auto" w:before="2"/>
              <w:ind w:left="107" w:right="90" w:firstLine="427"/>
              <w:jc w:val="both"/>
              <w:rPr>
                <w:sz w:val="21"/>
              </w:rPr>
            </w:pPr>
            <w:r>
              <w:rPr>
                <w:sz w:val="21"/>
              </w:rPr>
              <w:t>迅速撤离泄漏污染区人员至安全区，并进行隔离，严格限制出入。切断火源。建议应急处理人员戴自给正压式呼吸器，穿防毒服。不要直接接触泄漏物。尽可能切断泄漏源。防止流入下水道、排洪沟等限制性空间。小量泄漏：用活性炭或其它惰性材料吸收。也可以用大量水冲洗，洗水稀释后放入废水系统。大量泄漏：构筑围堤或挖坑收容。喷雾状水冷却和稀释蒸汽、保护现场人员、把泄漏物稀释成不燃物。用防爆泵转移至槽车或专用收集器内，回收或运至废物处理场所</w:t>
            </w:r>
          </w:p>
          <w:p>
            <w:pPr>
              <w:pStyle w:val="TableParagraph"/>
              <w:spacing w:line="250" w:lineRule="exact" w:before="4"/>
              <w:ind w:left="107"/>
              <w:jc w:val="left"/>
              <w:rPr>
                <w:sz w:val="21"/>
              </w:rPr>
            </w:pPr>
            <w:r>
              <w:rPr>
                <w:sz w:val="21"/>
              </w:rPr>
              <w:t>处置</w:t>
            </w:r>
          </w:p>
        </w:tc>
      </w:tr>
      <w:tr>
        <w:trPr>
          <w:trHeight w:val="272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2" w:lineRule="auto" w:before="4"/>
              <w:ind w:left="107" w:right="-15" w:firstLine="419"/>
              <w:jc w:val="both"/>
              <w:rPr>
                <w:sz w:val="21"/>
              </w:rPr>
            </w:pPr>
            <w:r>
              <w:rPr>
                <w:spacing w:val="-7"/>
                <w:sz w:val="21"/>
              </w:rPr>
              <w:t>操作注意事项： 严加密闭，提供充分的局部排风和全面通风。操作尽可能机械化、自动化。</w:t>
            </w:r>
            <w:r>
              <w:rPr>
                <w:spacing w:val="-5"/>
                <w:sz w:val="21"/>
              </w:rPr>
              <w:t>操作人员必须经过专门培训，严格遵守操作规程。建议操作人员佩戴过滤式防毒面具</w:t>
            </w:r>
            <w:r>
              <w:rPr>
                <w:spacing w:val="-3"/>
                <w:sz w:val="21"/>
              </w:rPr>
              <w:t>（</w:t>
            </w:r>
            <w:r>
              <w:rPr>
                <w:spacing w:val="-2"/>
                <w:sz w:val="21"/>
              </w:rPr>
              <w:t>全面罩</w:t>
            </w:r>
            <w:r>
              <w:rPr>
                <w:spacing w:val="-108"/>
                <w:sz w:val="21"/>
              </w:rPr>
              <w:t>）</w:t>
            </w:r>
            <w:r>
              <w:rPr>
                <w:sz w:val="21"/>
              </w:rPr>
              <w:t>、自给式呼吸器或通风式呼吸器，穿胶布防毒衣，戴橡胶耐油手套。远离火种、热源，工作场所严禁吸烟。使用防爆型的通风系统和设备。远离易燃、可燃物。防止蒸气泄漏到工作场所空气中。避免与氧化剂、还原剂、酸类、碱类接触。搬运时要轻装轻卸，防止包装及容器损坏。配备相应</w:t>
            </w:r>
            <w:r>
              <w:rPr>
                <w:spacing w:val="-8"/>
                <w:sz w:val="21"/>
              </w:rPr>
              <w:t>品种和数量的消防器材及泄漏应急处理设备。倒空的容器可能残留有害物。 储存注意事项： 储存</w:t>
            </w:r>
            <w:r>
              <w:rPr>
                <w:spacing w:val="-7"/>
                <w:sz w:val="21"/>
              </w:rPr>
              <w:t>于阴凉、通风的库房。远离火种、热源。库温不宜超过 </w:t>
            </w:r>
            <w:r>
              <w:rPr>
                <w:rFonts w:ascii="Times New Roman" w:hAnsi="Times New Roman" w:eastAsia="Times New Roman"/>
                <w:spacing w:val="-3"/>
                <w:sz w:val="21"/>
              </w:rPr>
              <w:t>30</w:t>
            </w:r>
            <w:r>
              <w:rPr>
                <w:spacing w:val="-3"/>
                <w:sz w:val="21"/>
              </w:rPr>
              <w:t>℃。保持容器密封。应与氧化剂、还原</w:t>
            </w:r>
            <w:r>
              <w:rPr>
                <w:spacing w:val="-6"/>
                <w:sz w:val="21"/>
              </w:rPr>
              <w:t>剂、酸类、碱类、易</w:t>
            </w:r>
            <w:r>
              <w:rPr>
                <w:spacing w:val="-3"/>
                <w:sz w:val="21"/>
              </w:rPr>
              <w:t>（可</w:t>
            </w:r>
            <w:r>
              <w:rPr>
                <w:spacing w:val="-5"/>
                <w:sz w:val="21"/>
              </w:rPr>
              <w:t>）燃物、食用化学品分开存放，切忌混储。采用防爆型照明、通风设施。</w:t>
            </w:r>
          </w:p>
          <w:p>
            <w:pPr>
              <w:pStyle w:val="TableParagraph"/>
              <w:spacing w:line="250" w:lineRule="exact" w:before="5"/>
              <w:ind w:left="107"/>
              <w:jc w:val="left"/>
              <w:rPr>
                <w:sz w:val="21"/>
              </w:rPr>
            </w:pPr>
            <w:r>
              <w:rPr>
                <w:sz w:val="21"/>
              </w:rPr>
              <w:t>禁止使用易产生火花的机械设备和工具。储区应备有泄漏应急处理设备和合适的收容材料</w:t>
            </w:r>
          </w:p>
        </w:tc>
      </w:tr>
      <w:tr>
        <w:trPr>
          <w:trHeight w:val="2997"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4"/>
              <w:ind w:left="527"/>
              <w:jc w:val="left"/>
              <w:rPr>
                <w:rFonts w:ascii="Times New Roman" w:eastAsia="Times New Roman"/>
                <w:sz w:val="21"/>
              </w:rPr>
            </w:pPr>
            <w:r>
              <w:rPr>
                <w:sz w:val="21"/>
              </w:rPr>
              <w:t>中国 </w:t>
            </w:r>
            <w:r>
              <w:rPr>
                <w:rFonts w:ascii="Times New Roman" w:eastAsia="Times New Roman"/>
                <w:sz w:val="21"/>
              </w:rPr>
              <w:t>MAC(mg/m3)</w:t>
            </w:r>
            <w:r>
              <w:rPr>
                <w:sz w:val="21"/>
              </w:rPr>
              <w:t>： </w:t>
            </w:r>
            <w:r>
              <w:rPr>
                <w:rFonts w:ascii="Times New Roman" w:eastAsia="Times New Roman"/>
                <w:sz w:val="21"/>
              </w:rPr>
              <w:t>3  </w:t>
            </w:r>
            <w:r>
              <w:rPr>
                <w:sz w:val="21"/>
              </w:rPr>
              <w:t>前苏联 </w:t>
            </w:r>
            <w:r>
              <w:rPr>
                <w:rFonts w:ascii="Times New Roman" w:eastAsia="Times New Roman"/>
                <w:sz w:val="21"/>
              </w:rPr>
              <w:t>MAC(mg/m3)</w:t>
            </w:r>
            <w:r>
              <w:rPr>
                <w:sz w:val="21"/>
              </w:rPr>
              <w:t>： </w:t>
            </w:r>
            <w:r>
              <w:rPr>
                <w:rFonts w:ascii="Times New Roman" w:eastAsia="Times New Roman"/>
                <w:sz w:val="21"/>
              </w:rPr>
              <w:t>10</w:t>
            </w:r>
          </w:p>
          <w:p>
            <w:pPr>
              <w:pStyle w:val="TableParagraph"/>
              <w:spacing w:line="244" w:lineRule="auto" w:before="2"/>
              <w:ind w:left="107" w:right="94" w:firstLine="419"/>
              <w:jc w:val="left"/>
              <w:rPr>
                <w:sz w:val="21"/>
              </w:rPr>
            </w:pPr>
            <w:r>
              <w:rPr>
                <w:rFonts w:ascii="Times New Roman" w:eastAsia="Times New Roman"/>
                <w:spacing w:val="-5"/>
                <w:sz w:val="21"/>
              </w:rPr>
              <w:t>TLVTN </w:t>
            </w:r>
            <w:r>
              <w:rPr>
                <w:sz w:val="21"/>
              </w:rPr>
              <w:t>： </w:t>
            </w:r>
            <w:r>
              <w:rPr>
                <w:rFonts w:ascii="Times New Roman" w:eastAsia="Times New Roman"/>
                <w:sz w:val="21"/>
              </w:rPr>
              <w:t>OSHA 40ppm,67mg/m3; ACGIH 40ppm,67mg/m3 </w:t>
            </w:r>
            <w:r>
              <w:rPr>
                <w:rFonts w:ascii="Times New Roman" w:eastAsia="Times New Roman"/>
                <w:spacing w:val="-5"/>
                <w:sz w:val="21"/>
              </w:rPr>
              <w:t>TLVWN </w:t>
            </w:r>
            <w:r>
              <w:rPr>
                <w:spacing w:val="-36"/>
                <w:sz w:val="21"/>
              </w:rPr>
              <w:t>： </w:t>
            </w:r>
            <w:r>
              <w:rPr>
                <w:rFonts w:ascii="Times New Roman" w:eastAsia="Times New Roman"/>
                <w:sz w:val="21"/>
              </w:rPr>
              <w:t>ACGIH 60ppm,101mg/ m3 </w:t>
            </w:r>
            <w:r>
              <w:rPr>
                <w:spacing w:val="-8"/>
                <w:sz w:val="21"/>
              </w:rPr>
              <w:t>监测方法： 气相色谱法</w:t>
            </w:r>
          </w:p>
          <w:p>
            <w:pPr>
              <w:pStyle w:val="TableParagraph"/>
              <w:spacing w:line="244" w:lineRule="auto"/>
              <w:ind w:left="107" w:right="30" w:firstLine="419"/>
              <w:jc w:val="left"/>
              <w:rPr>
                <w:sz w:val="21"/>
              </w:rPr>
            </w:pPr>
            <w:r>
              <w:rPr>
                <w:sz w:val="21"/>
              </w:rPr>
              <w:t>工程控制： 严加密闭，提供充分的局部排风和全面通风。尽可能机械化、自动化。提供安全淋浴和洗眼设备。</w:t>
            </w:r>
          </w:p>
          <w:p>
            <w:pPr>
              <w:pStyle w:val="TableParagraph"/>
              <w:spacing w:line="242" w:lineRule="auto"/>
              <w:ind w:left="107" w:right="90" w:firstLine="419"/>
              <w:jc w:val="both"/>
              <w:rPr>
                <w:sz w:val="21"/>
              </w:rPr>
            </w:pPr>
            <w:r>
              <w:rPr>
                <w:spacing w:val="-11"/>
                <w:sz w:val="21"/>
              </w:rPr>
              <w:t>呼吸系统防护： 可能接触毒物时，必须佩戴过滤式防毒面具</w:t>
            </w:r>
            <w:r>
              <w:rPr>
                <w:spacing w:val="-3"/>
                <w:sz w:val="21"/>
              </w:rPr>
              <w:t>（</w:t>
            </w:r>
            <w:r>
              <w:rPr>
                <w:spacing w:val="-2"/>
                <w:sz w:val="21"/>
              </w:rPr>
              <w:t>全面罩</w:t>
            </w:r>
            <w:r>
              <w:rPr>
                <w:spacing w:val="-106"/>
                <w:sz w:val="21"/>
              </w:rPr>
              <w:t>）</w:t>
            </w:r>
            <w:r>
              <w:rPr>
                <w:spacing w:val="-7"/>
                <w:sz w:val="21"/>
              </w:rPr>
              <w:t>、自给式呼吸器或通风</w:t>
            </w:r>
            <w:r>
              <w:rPr>
                <w:spacing w:val="-13"/>
                <w:sz w:val="21"/>
              </w:rPr>
              <w:t>式呼吸器。紧急事态抢救或撤离时，佩戴空气呼吸器。 眼睛防护：呼吸系统防护中已作防护。 身</w:t>
            </w:r>
            <w:r>
              <w:rPr>
                <w:spacing w:val="-14"/>
                <w:sz w:val="21"/>
              </w:rPr>
              <w:t>体防护： 穿胶布防毒衣。 手防护： 戴橡胶耐油手套。</w:t>
            </w:r>
          </w:p>
          <w:p>
            <w:pPr>
              <w:pStyle w:val="TableParagraph"/>
              <w:spacing w:line="270" w:lineRule="atLeast"/>
              <w:ind w:left="107" w:right="30" w:firstLine="419"/>
              <w:jc w:val="left"/>
              <w:rPr>
                <w:sz w:val="21"/>
              </w:rPr>
            </w:pPr>
            <w:r>
              <w:rPr>
                <w:sz w:val="21"/>
              </w:rPr>
              <w:t>其他防护： 工作现场禁止吸烟、进食和饮水。工作完毕，彻底清洗。单独存放被毒物污染的衣服，洗后备用。车间应配备急救设备及药品。作业人员应学会自救互救</w:t>
            </w:r>
          </w:p>
        </w:tc>
      </w:tr>
      <w:tr>
        <w:trPr>
          <w:trHeight w:val="2429" w:hRule="atLeast"/>
        </w:trPr>
        <w:tc>
          <w:tcPr>
            <w:tcW w:w="9091" w:type="dxa"/>
            <w:tcBorders>
              <w:top w:val="single" w:sz="6" w:space="0" w:color="000000"/>
              <w:bottom w:val="single" w:sz="6" w:space="0" w:color="000000"/>
            </w:tcBorders>
          </w:tcPr>
          <w:p>
            <w:pPr>
              <w:pStyle w:val="TableParagraph"/>
              <w:spacing w:line="269" w:lineRule="exact"/>
              <w:ind w:left="107"/>
              <w:jc w:val="left"/>
              <w:rPr>
                <w:b/>
                <w:sz w:val="21"/>
              </w:rPr>
            </w:pPr>
            <w:r>
              <w:rPr>
                <w:b/>
                <w:sz w:val="21"/>
              </w:rPr>
              <w:t>理化特性</w:t>
            </w:r>
          </w:p>
          <w:p>
            <w:pPr>
              <w:pStyle w:val="TableParagraph"/>
              <w:spacing w:before="91"/>
              <w:ind w:left="587"/>
              <w:jc w:val="left"/>
              <w:rPr>
                <w:sz w:val="21"/>
              </w:rPr>
            </w:pPr>
            <w:r>
              <w:rPr>
                <w:sz w:val="21"/>
              </w:rPr>
              <w:t>外观与性状： 无色液体，有刺激性气味。 </w:t>
            </w:r>
            <w:r>
              <w:rPr>
                <w:rFonts w:ascii="Times New Roman" w:eastAsia="Times New Roman"/>
                <w:sz w:val="21"/>
              </w:rPr>
              <w:t>pH</w:t>
            </w:r>
            <w:r>
              <w:rPr>
                <w:sz w:val="21"/>
              </w:rPr>
              <w:t>：</w:t>
            </w:r>
          </w:p>
          <w:p>
            <w:pPr>
              <w:pStyle w:val="TableParagraph"/>
              <w:spacing w:before="91"/>
              <w:ind w:left="587"/>
              <w:jc w:val="left"/>
              <w:rPr>
                <w:sz w:val="21"/>
              </w:rPr>
            </w:pPr>
            <w:r>
              <w:rPr>
                <w:sz w:val="21"/>
              </w:rPr>
              <w:t>熔点</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 </w:t>
            </w:r>
            <w:r>
              <w:rPr>
                <w:rFonts w:ascii="Times New Roman" w:hAnsi="Times New Roman" w:eastAsia="Times New Roman"/>
                <w:sz w:val="21"/>
              </w:rPr>
              <w:t>-45.7 </w:t>
            </w:r>
            <w:r>
              <w:rPr>
                <w:sz w:val="21"/>
              </w:rPr>
              <w:t>沸点</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 </w:t>
            </w:r>
            <w:r>
              <w:rPr>
                <w:rFonts w:ascii="Times New Roman" w:hAnsi="Times New Roman" w:eastAsia="Times New Roman"/>
                <w:sz w:val="21"/>
              </w:rPr>
              <w:t>81.1 </w:t>
            </w:r>
            <w:r>
              <w:rPr>
                <w:sz w:val="21"/>
              </w:rPr>
              <w:t>相对密度</w:t>
            </w:r>
            <w:r>
              <w:rPr>
                <w:rFonts w:ascii="Times New Roman" w:hAnsi="Times New Roman" w:eastAsia="Times New Roman"/>
                <w:sz w:val="21"/>
              </w:rPr>
              <w:t>(</w:t>
            </w:r>
            <w:r>
              <w:rPr>
                <w:sz w:val="21"/>
              </w:rPr>
              <w:t>水</w:t>
            </w:r>
            <w:r>
              <w:rPr>
                <w:rFonts w:ascii="Times New Roman" w:hAnsi="Times New Roman" w:eastAsia="Times New Roman"/>
                <w:sz w:val="21"/>
              </w:rPr>
              <w:t>=1)</w:t>
            </w:r>
            <w:r>
              <w:rPr>
                <w:sz w:val="21"/>
              </w:rPr>
              <w:t>： </w:t>
            </w:r>
            <w:r>
              <w:rPr>
                <w:rFonts w:ascii="Times New Roman" w:hAnsi="Times New Roman" w:eastAsia="Times New Roman"/>
                <w:sz w:val="21"/>
              </w:rPr>
              <w:t>0.79 </w:t>
            </w:r>
            <w:r>
              <w:rPr>
                <w:sz w:val="21"/>
              </w:rPr>
              <w:t>相对蒸气密度</w:t>
            </w:r>
            <w:r>
              <w:rPr>
                <w:rFonts w:ascii="Times New Roman" w:hAnsi="Times New Roman" w:eastAsia="Times New Roman"/>
                <w:sz w:val="21"/>
              </w:rPr>
              <w:t>(</w:t>
            </w:r>
            <w:r>
              <w:rPr>
                <w:sz w:val="21"/>
              </w:rPr>
              <w:t>空气</w:t>
            </w:r>
            <w:r>
              <w:rPr>
                <w:rFonts w:ascii="Times New Roman" w:hAnsi="Times New Roman" w:eastAsia="Times New Roman"/>
                <w:sz w:val="21"/>
              </w:rPr>
              <w:t>=1)</w:t>
            </w:r>
            <w:r>
              <w:rPr>
                <w:sz w:val="21"/>
              </w:rPr>
              <w:t>： </w:t>
            </w:r>
            <w:r>
              <w:rPr>
                <w:rFonts w:ascii="Times New Roman" w:hAnsi="Times New Roman" w:eastAsia="Times New Roman"/>
                <w:sz w:val="21"/>
              </w:rPr>
              <w:t>1.42 </w:t>
            </w:r>
            <w:r>
              <w:rPr>
                <w:sz w:val="21"/>
              </w:rPr>
              <w:t>饱和</w:t>
            </w:r>
          </w:p>
          <w:p>
            <w:pPr>
              <w:pStyle w:val="TableParagraph"/>
              <w:spacing w:before="91"/>
              <w:ind w:left="107"/>
              <w:jc w:val="left"/>
              <w:rPr>
                <w:rFonts w:ascii="Times New Roman" w:hAnsi="Times New Roman" w:eastAsia="Times New Roman"/>
                <w:sz w:val="21"/>
              </w:rPr>
            </w:pPr>
            <w:r>
              <w:rPr>
                <w:sz w:val="21"/>
              </w:rPr>
              <w:t>蒸气压</w:t>
            </w:r>
            <w:r>
              <w:rPr>
                <w:rFonts w:ascii="Times New Roman" w:hAnsi="Times New Roman" w:eastAsia="Times New Roman"/>
                <w:sz w:val="21"/>
              </w:rPr>
              <w:t>(kPa)</w:t>
            </w:r>
            <w:r>
              <w:rPr>
                <w:spacing w:val="-33"/>
                <w:sz w:val="21"/>
              </w:rPr>
              <w:t>： </w:t>
            </w:r>
            <w:r>
              <w:rPr>
                <w:rFonts w:ascii="Times New Roman" w:hAnsi="Times New Roman" w:eastAsia="Times New Roman"/>
                <w:sz w:val="21"/>
              </w:rPr>
              <w:t>13.33(27</w:t>
            </w:r>
            <w:r>
              <w:rPr>
                <w:sz w:val="21"/>
              </w:rPr>
              <w:t>℃</w:t>
            </w:r>
            <w:r>
              <w:rPr>
                <w:rFonts w:ascii="Times New Roman" w:hAnsi="Times New Roman" w:eastAsia="Times New Roman"/>
                <w:spacing w:val="25"/>
                <w:sz w:val="21"/>
              </w:rPr>
              <w:t>) </w:t>
            </w:r>
            <w:r>
              <w:rPr>
                <w:spacing w:val="-2"/>
                <w:sz w:val="21"/>
              </w:rPr>
              <w:t>燃烧热</w:t>
            </w:r>
            <w:r>
              <w:rPr>
                <w:rFonts w:ascii="Times New Roman" w:hAnsi="Times New Roman" w:eastAsia="Times New Roman"/>
                <w:sz w:val="21"/>
              </w:rPr>
              <w:t>(kJ/mol)</w:t>
            </w:r>
            <w:r>
              <w:rPr>
                <w:spacing w:val="-31"/>
                <w:sz w:val="21"/>
              </w:rPr>
              <w:t>： </w:t>
            </w:r>
            <w:r>
              <w:rPr>
                <w:rFonts w:ascii="Times New Roman" w:hAnsi="Times New Roman" w:eastAsia="Times New Roman"/>
                <w:sz w:val="21"/>
              </w:rPr>
              <w:t>1264.0</w:t>
            </w:r>
            <w:r>
              <w:rPr>
                <w:rFonts w:ascii="Times New Roman" w:hAnsi="Times New Roman" w:eastAsia="Times New Roman"/>
                <w:spacing w:val="52"/>
                <w:sz w:val="21"/>
              </w:rPr>
              <w:t> </w:t>
            </w:r>
            <w:r>
              <w:rPr>
                <w:spacing w:val="-1"/>
                <w:sz w:val="21"/>
              </w:rPr>
              <w:t>临界温度</w:t>
            </w:r>
            <w:r>
              <w:rPr>
                <w:rFonts w:ascii="Times New Roman" w:hAnsi="Times New Roman" w:eastAsia="Times New Roman"/>
                <w:sz w:val="21"/>
              </w:rPr>
              <w:t>(</w:t>
            </w:r>
            <w:r>
              <w:rPr>
                <w:sz w:val="21"/>
              </w:rPr>
              <w:t>℃</w:t>
            </w:r>
            <w:r>
              <w:rPr>
                <w:rFonts w:ascii="Times New Roman" w:hAnsi="Times New Roman" w:eastAsia="Times New Roman"/>
                <w:sz w:val="21"/>
              </w:rPr>
              <w:t>)</w:t>
            </w:r>
            <w:r>
              <w:rPr>
                <w:spacing w:val="-31"/>
                <w:sz w:val="21"/>
              </w:rPr>
              <w:t>： </w:t>
            </w:r>
            <w:r>
              <w:rPr>
                <w:rFonts w:ascii="Times New Roman" w:hAnsi="Times New Roman" w:eastAsia="Times New Roman"/>
                <w:sz w:val="21"/>
              </w:rPr>
              <w:t>274.7  </w:t>
            </w:r>
            <w:r>
              <w:rPr>
                <w:spacing w:val="-2"/>
                <w:sz w:val="21"/>
              </w:rPr>
              <w:t>临界压力</w:t>
            </w:r>
            <w:r>
              <w:rPr>
                <w:rFonts w:ascii="Times New Roman" w:hAnsi="Times New Roman" w:eastAsia="Times New Roman"/>
                <w:sz w:val="21"/>
              </w:rPr>
              <w:t>(MPa)</w:t>
            </w:r>
            <w:r>
              <w:rPr>
                <w:spacing w:val="-31"/>
                <w:sz w:val="21"/>
              </w:rPr>
              <w:t>： </w:t>
            </w:r>
            <w:r>
              <w:rPr>
                <w:rFonts w:ascii="Times New Roman" w:hAnsi="Times New Roman" w:eastAsia="Times New Roman"/>
                <w:sz w:val="21"/>
              </w:rPr>
              <w:t>4.83</w:t>
            </w:r>
          </w:p>
          <w:p>
            <w:pPr>
              <w:pStyle w:val="TableParagraph"/>
              <w:spacing w:line="321" w:lineRule="auto" w:before="90"/>
              <w:ind w:left="107" w:right="93" w:firstLine="479"/>
              <w:jc w:val="left"/>
              <w:rPr>
                <w:sz w:val="21"/>
              </w:rPr>
            </w:pPr>
            <w:r>
              <w:rPr>
                <w:sz w:val="21"/>
              </w:rPr>
              <w:t>辛醇</w:t>
            </w:r>
            <w:r>
              <w:rPr>
                <w:rFonts w:ascii="Times New Roman" w:hAnsi="Times New Roman" w:eastAsia="Times New Roman"/>
                <w:sz w:val="21"/>
              </w:rPr>
              <w:t>/</w:t>
            </w:r>
            <w:r>
              <w:rPr>
                <w:spacing w:val="-4"/>
                <w:sz w:val="21"/>
              </w:rPr>
              <w:t>水分配系数的对数值：</w:t>
            </w:r>
            <w:r>
              <w:rPr>
                <w:rFonts w:ascii="Times New Roman" w:hAnsi="Times New Roman" w:eastAsia="Times New Roman"/>
                <w:spacing w:val="-5"/>
                <w:sz w:val="21"/>
              </w:rPr>
              <w:t>-0.34</w:t>
            </w:r>
            <w:r>
              <w:rPr>
                <w:rFonts w:ascii="Times New Roman" w:hAnsi="Times New Roman" w:eastAsia="Times New Roman"/>
                <w:spacing w:val="8"/>
                <w:sz w:val="21"/>
              </w:rPr>
              <w:t> </w:t>
            </w:r>
            <w:r>
              <w:rPr>
                <w:spacing w:val="-2"/>
                <w:sz w:val="21"/>
              </w:rPr>
              <w:t>闪点</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2</w:t>
            </w:r>
            <w:r>
              <w:rPr>
                <w:rFonts w:ascii="Times New Roman" w:hAnsi="Times New Roman" w:eastAsia="Times New Roman"/>
                <w:spacing w:val="19"/>
                <w:sz w:val="21"/>
              </w:rPr>
              <w:t> </w:t>
            </w:r>
            <w:r>
              <w:rPr>
                <w:spacing w:val="-2"/>
                <w:sz w:val="21"/>
              </w:rPr>
              <w:t>引燃温度</w:t>
            </w:r>
            <w:r>
              <w:rPr>
                <w:rFonts w:ascii="Times New Roman" w:hAnsi="Times New Roman" w:eastAsia="Times New Roman"/>
                <w:spacing w:val="-5"/>
                <w:sz w:val="21"/>
              </w:rPr>
              <w:t>(</w:t>
            </w:r>
            <w:r>
              <w:rPr>
                <w:spacing w:val="-5"/>
                <w:sz w:val="21"/>
              </w:rPr>
              <w:t>℃</w:t>
            </w:r>
            <w:r>
              <w:rPr>
                <w:rFonts w:ascii="Times New Roman" w:hAnsi="Times New Roman" w:eastAsia="Times New Roman"/>
                <w:spacing w:val="-5"/>
                <w:sz w:val="21"/>
              </w:rPr>
              <w:t>)</w:t>
            </w:r>
            <w:r>
              <w:rPr>
                <w:spacing w:val="-5"/>
                <w:sz w:val="21"/>
              </w:rPr>
              <w:t>：</w:t>
            </w:r>
            <w:r>
              <w:rPr>
                <w:rFonts w:ascii="Times New Roman" w:hAnsi="Times New Roman" w:eastAsia="Times New Roman"/>
                <w:spacing w:val="-5"/>
                <w:sz w:val="21"/>
              </w:rPr>
              <w:t>524</w:t>
            </w:r>
            <w:r>
              <w:rPr>
                <w:rFonts w:ascii="Times New Roman" w:hAnsi="Times New Roman" w:eastAsia="Times New Roman"/>
                <w:spacing w:val="19"/>
                <w:sz w:val="21"/>
              </w:rPr>
              <w:t> </w:t>
            </w:r>
            <w:r>
              <w:rPr>
                <w:spacing w:val="-2"/>
                <w:sz w:val="21"/>
              </w:rPr>
              <w:t>爆炸上限</w:t>
            </w:r>
            <w:r>
              <w:rPr>
                <w:rFonts w:ascii="Times New Roman" w:hAnsi="Times New Roman" w:eastAsia="Times New Roman"/>
                <w:spacing w:val="-3"/>
                <w:sz w:val="21"/>
              </w:rPr>
              <w:t>%(V/V)</w:t>
            </w:r>
            <w:r>
              <w:rPr>
                <w:spacing w:val="-3"/>
                <w:sz w:val="21"/>
              </w:rPr>
              <w:t>：</w:t>
            </w:r>
            <w:r>
              <w:rPr>
                <w:rFonts w:ascii="Times New Roman" w:hAnsi="Times New Roman" w:eastAsia="Times New Roman"/>
                <w:spacing w:val="-3"/>
                <w:sz w:val="21"/>
              </w:rPr>
              <w:t>16.0</w:t>
            </w:r>
            <w:r>
              <w:rPr>
                <w:rFonts w:ascii="Times New Roman" w:hAnsi="Times New Roman" w:eastAsia="Times New Roman"/>
                <w:spacing w:val="17"/>
                <w:sz w:val="21"/>
              </w:rPr>
              <w:t> </w:t>
            </w:r>
            <w:r>
              <w:rPr>
                <w:sz w:val="21"/>
              </w:rPr>
              <w:t>爆</w:t>
            </w:r>
            <w:r>
              <w:rPr>
                <w:spacing w:val="-1"/>
                <w:sz w:val="21"/>
              </w:rPr>
              <w:t>炸下限</w:t>
            </w:r>
            <w:r>
              <w:rPr>
                <w:rFonts w:ascii="Times New Roman" w:hAnsi="Times New Roman" w:eastAsia="Times New Roman"/>
                <w:sz w:val="21"/>
              </w:rPr>
              <w:t>%(V/V)</w:t>
            </w:r>
            <w:r>
              <w:rPr>
                <w:spacing w:val="-27"/>
                <w:sz w:val="21"/>
              </w:rPr>
              <w:t>： </w:t>
            </w:r>
            <w:r>
              <w:rPr>
                <w:rFonts w:ascii="Times New Roman" w:hAnsi="Times New Roman" w:eastAsia="Times New Roman"/>
                <w:sz w:val="21"/>
              </w:rPr>
              <w:t>3.0 </w:t>
            </w:r>
            <w:r>
              <w:rPr>
                <w:spacing w:val="-9"/>
                <w:sz w:val="21"/>
              </w:rPr>
              <w:t>溶解性： 与水混溶，溶于醇等多数有机溶剂。</w:t>
            </w:r>
          </w:p>
          <w:p>
            <w:pPr>
              <w:pStyle w:val="TableParagraph"/>
              <w:spacing w:line="249" w:lineRule="exact"/>
              <w:ind w:left="587"/>
              <w:jc w:val="left"/>
              <w:rPr>
                <w:sz w:val="21"/>
              </w:rPr>
            </w:pPr>
            <w:r>
              <w:rPr>
                <w:spacing w:val="-3"/>
                <w:sz w:val="21"/>
              </w:rPr>
              <w:t>主要用途： 用于制维生素</w:t>
            </w:r>
            <w:r>
              <w:rPr>
                <w:rFonts w:ascii="Times New Roman" w:eastAsia="Times New Roman"/>
                <w:sz w:val="21"/>
              </w:rPr>
              <w:t>B1</w:t>
            </w:r>
            <w:r>
              <w:rPr>
                <w:rFonts w:ascii="Times New Roman" w:eastAsia="Times New Roman"/>
                <w:spacing w:val="17"/>
                <w:sz w:val="21"/>
              </w:rPr>
              <w:t> </w:t>
            </w:r>
            <w:r>
              <w:rPr>
                <w:spacing w:val="-3"/>
                <w:sz w:val="21"/>
              </w:rPr>
              <w:t>等药物，及香料、脂肪酸萃取等</w:t>
            </w:r>
          </w:p>
        </w:tc>
      </w:tr>
      <w:tr>
        <w:trPr>
          <w:trHeight w:val="1266"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毒理学资料</w:t>
            </w:r>
          </w:p>
          <w:p>
            <w:pPr>
              <w:pStyle w:val="TableParagraph"/>
              <w:spacing w:before="93"/>
              <w:ind w:left="587"/>
              <w:jc w:val="left"/>
              <w:rPr>
                <w:sz w:val="21"/>
              </w:rPr>
            </w:pPr>
            <w:r>
              <w:rPr>
                <w:sz w:val="21"/>
              </w:rPr>
              <w:t>急性毒性： </w:t>
            </w:r>
            <w:r>
              <w:rPr>
                <w:rFonts w:ascii="Times New Roman" w:eastAsia="Times New Roman"/>
                <w:sz w:val="21"/>
              </w:rPr>
              <w:t>LD50</w:t>
            </w:r>
            <w:r>
              <w:rPr>
                <w:sz w:val="21"/>
              </w:rPr>
              <w:t>：</w:t>
            </w:r>
            <w:r>
              <w:rPr>
                <w:rFonts w:ascii="Times New Roman" w:eastAsia="Times New Roman"/>
                <w:sz w:val="21"/>
              </w:rPr>
              <w:t>2730 mg/kg(</w:t>
            </w:r>
            <w:r>
              <w:rPr>
                <w:sz w:val="21"/>
              </w:rPr>
              <w:t>大鼠经口</w:t>
            </w:r>
            <w:r>
              <w:rPr>
                <w:rFonts w:ascii="Times New Roman" w:eastAsia="Times New Roman"/>
                <w:sz w:val="21"/>
              </w:rPr>
              <w:t>)</w:t>
            </w:r>
            <w:r>
              <w:rPr>
                <w:sz w:val="21"/>
              </w:rPr>
              <w:t>；</w:t>
            </w:r>
            <w:r>
              <w:rPr>
                <w:rFonts w:ascii="Times New Roman" w:eastAsia="Times New Roman"/>
                <w:sz w:val="21"/>
              </w:rPr>
              <w:t>1250 mg/kg(</w:t>
            </w:r>
            <w:r>
              <w:rPr>
                <w:sz w:val="21"/>
              </w:rPr>
              <w:t>兔经皮</w:t>
            </w:r>
            <w:r>
              <w:rPr>
                <w:rFonts w:ascii="Times New Roman" w:eastAsia="Times New Roman"/>
                <w:sz w:val="21"/>
              </w:rPr>
              <w:t>) LC50</w:t>
            </w:r>
            <w:r>
              <w:rPr>
                <w:sz w:val="21"/>
              </w:rPr>
              <w:t>：</w:t>
            </w:r>
            <w:r>
              <w:rPr>
                <w:rFonts w:ascii="Times New Roman" w:eastAsia="Times New Roman"/>
                <w:sz w:val="21"/>
              </w:rPr>
              <w:t>12663mg/m3</w:t>
            </w:r>
            <w:r>
              <w:rPr>
                <w:sz w:val="21"/>
              </w:rPr>
              <w:t>，</w:t>
            </w:r>
            <w:r>
              <w:rPr>
                <w:rFonts w:ascii="Times New Roman" w:eastAsia="Times New Roman"/>
                <w:sz w:val="21"/>
              </w:rPr>
              <w:t>8 </w:t>
            </w:r>
            <w:r>
              <w:rPr>
                <w:sz w:val="21"/>
              </w:rPr>
              <w:t>小时</w:t>
            </w:r>
          </w:p>
          <w:p>
            <w:pPr>
              <w:pStyle w:val="TableParagraph"/>
              <w:spacing w:before="91"/>
              <w:ind w:left="107"/>
              <w:jc w:val="left"/>
              <w:rPr>
                <w:sz w:val="21"/>
              </w:rPr>
            </w:pPr>
            <w:r>
              <w:rPr>
                <w:rFonts w:ascii="Times New Roman" w:eastAsia="Times New Roman"/>
                <w:sz w:val="21"/>
              </w:rPr>
              <w:t>(</w:t>
            </w:r>
            <w:r>
              <w:rPr>
                <w:sz w:val="21"/>
              </w:rPr>
              <w:t>大鼠吸入</w:t>
            </w:r>
            <w:r>
              <w:rPr>
                <w:rFonts w:ascii="Times New Roman" w:eastAsia="Times New Roman"/>
                <w:sz w:val="21"/>
              </w:rPr>
              <w:t>) </w:t>
            </w:r>
            <w:r>
              <w:rPr>
                <w:sz w:val="21"/>
              </w:rPr>
              <w:t>亚急性和慢性毒性：</w:t>
            </w:r>
          </w:p>
          <w:p>
            <w:pPr>
              <w:pStyle w:val="TableParagraph"/>
              <w:spacing w:line="252" w:lineRule="exact" w:before="2"/>
              <w:ind w:left="590"/>
              <w:jc w:val="left"/>
              <w:rPr>
                <w:sz w:val="21"/>
              </w:rPr>
            </w:pPr>
            <w:r>
              <w:rPr>
                <w:sz w:val="21"/>
              </w:rPr>
              <w:t>刺激性： </w:t>
            </w:r>
            <w:r>
              <w:rPr>
                <w:rFonts w:ascii="Times New Roman" w:eastAsia="Times New Roman"/>
                <w:sz w:val="21"/>
              </w:rPr>
              <w:t>mg/kg/20 </w:t>
            </w:r>
            <w:r>
              <w:rPr>
                <w:sz w:val="21"/>
              </w:rPr>
              <w:t>天，</w:t>
            </w:r>
            <w:r>
              <w:rPr>
                <w:rFonts w:ascii="Times New Roman" w:eastAsia="Times New Roman"/>
                <w:sz w:val="21"/>
              </w:rPr>
              <w:t>20mg</w:t>
            </w:r>
            <w:r>
              <w:rPr>
                <w:sz w:val="21"/>
              </w:rPr>
              <w:t>，重度刺激。家兔经皮开放性刺激试验： </w:t>
            </w:r>
            <w:r>
              <w:rPr>
                <w:rFonts w:ascii="Times New Roman" w:eastAsia="Times New Roman"/>
                <w:sz w:val="21"/>
              </w:rPr>
              <w:t>500mg</w:t>
            </w:r>
            <w:r>
              <w:rPr>
                <w:sz w:val="21"/>
              </w:rPr>
              <w:t>，轻度刺激</w:t>
            </w:r>
          </w:p>
        </w:tc>
      </w:tr>
      <w:tr>
        <w:trPr>
          <w:trHeight w:val="2433" w:hRule="atLeast"/>
        </w:trPr>
        <w:tc>
          <w:tcPr>
            <w:tcW w:w="9091" w:type="dxa"/>
            <w:tcBorders>
              <w:top w:val="single" w:sz="6" w:space="0" w:color="000000"/>
            </w:tcBorders>
          </w:tcPr>
          <w:p>
            <w:pPr>
              <w:pStyle w:val="TableParagraph"/>
              <w:spacing w:before="1"/>
              <w:ind w:left="107"/>
              <w:jc w:val="left"/>
              <w:rPr>
                <w:b/>
                <w:sz w:val="21"/>
              </w:rPr>
            </w:pPr>
            <w:r>
              <w:rPr>
                <w:b/>
                <w:sz w:val="21"/>
              </w:rPr>
              <w:t>运输信息</w:t>
            </w:r>
          </w:p>
          <w:p>
            <w:pPr>
              <w:pStyle w:val="TableParagraph"/>
              <w:spacing w:before="90"/>
              <w:ind w:left="587"/>
              <w:jc w:val="left"/>
              <w:rPr>
                <w:rFonts w:ascii="Times New Roman" w:eastAsia="Times New Roman"/>
                <w:sz w:val="21"/>
              </w:rPr>
            </w:pPr>
            <w:r>
              <w:rPr>
                <w:spacing w:val="-9"/>
                <w:sz w:val="21"/>
              </w:rPr>
              <w:t>危险货物编号： </w:t>
            </w:r>
            <w:r>
              <w:rPr>
                <w:rFonts w:ascii="Times New Roman" w:eastAsia="Times New Roman"/>
                <w:sz w:val="21"/>
              </w:rPr>
              <w:t>32159</w:t>
            </w:r>
            <w:r>
              <w:rPr>
                <w:rFonts w:ascii="Times New Roman" w:eastAsia="Times New Roman"/>
                <w:spacing w:val="52"/>
                <w:sz w:val="21"/>
              </w:rPr>
              <w:t> </w:t>
            </w:r>
            <w:r>
              <w:rPr>
                <w:rFonts w:ascii="Times New Roman" w:eastAsia="Times New Roman"/>
                <w:sz w:val="21"/>
              </w:rPr>
              <w:t>UN </w:t>
            </w:r>
            <w:r>
              <w:rPr>
                <w:spacing w:val="-15"/>
                <w:sz w:val="21"/>
              </w:rPr>
              <w:t>编号： </w:t>
            </w:r>
            <w:r>
              <w:rPr>
                <w:rFonts w:ascii="Times New Roman" w:eastAsia="Times New Roman"/>
                <w:sz w:val="21"/>
              </w:rPr>
              <w:t>1648 </w:t>
            </w:r>
            <w:r>
              <w:rPr>
                <w:spacing w:val="-5"/>
                <w:sz w:val="21"/>
              </w:rPr>
              <w:t>包装标志： 包装类别： </w:t>
            </w:r>
            <w:r>
              <w:rPr>
                <w:rFonts w:ascii="Times New Roman" w:eastAsia="Times New Roman"/>
                <w:sz w:val="21"/>
              </w:rPr>
              <w:t>O52</w:t>
            </w:r>
          </w:p>
          <w:p>
            <w:pPr>
              <w:pStyle w:val="TableParagraph"/>
              <w:spacing w:line="321" w:lineRule="auto" w:before="92"/>
              <w:ind w:left="107" w:right="90" w:firstLine="479"/>
              <w:jc w:val="left"/>
              <w:rPr>
                <w:sz w:val="21"/>
              </w:rPr>
            </w:pPr>
            <w:r>
              <w:rPr>
                <w:spacing w:val="-10"/>
                <w:sz w:val="21"/>
              </w:rPr>
              <w:t>包装方法： 小开口钢桶；安瓿瓶外普通木箱；螺纹口玻璃瓶、铁盖压口玻璃瓶、塑料瓶或金属桶</w:t>
            </w:r>
            <w:r>
              <w:rPr>
                <w:spacing w:val="-3"/>
                <w:sz w:val="21"/>
              </w:rPr>
              <w:t>（</w:t>
            </w:r>
            <w:r>
              <w:rPr>
                <w:sz w:val="21"/>
              </w:rPr>
              <w:t>罐</w:t>
            </w:r>
            <w:r>
              <w:rPr>
                <w:spacing w:val="-3"/>
                <w:sz w:val="21"/>
              </w:rPr>
              <w:t>）外普通木箱。</w:t>
            </w:r>
          </w:p>
          <w:p>
            <w:pPr>
              <w:pStyle w:val="TableParagraph"/>
              <w:spacing w:line="321" w:lineRule="auto"/>
              <w:ind w:left="107" w:right="90" w:firstLine="479"/>
              <w:jc w:val="left"/>
              <w:rPr>
                <w:sz w:val="21"/>
              </w:rPr>
            </w:pPr>
            <w:r>
              <w:rPr>
                <w:spacing w:val="-10"/>
                <w:sz w:val="21"/>
              </w:rPr>
              <w:t>运输注意事项： 运输时运输车辆应配备相应品种和数量的消防器材及泄漏应急处理设备。夏季最好早晚运输。运输时所用的槽（罐）</w:t>
            </w:r>
            <w:r>
              <w:rPr>
                <w:spacing w:val="-11"/>
                <w:sz w:val="21"/>
              </w:rPr>
              <w:t>车应有接地链，槽内可设孔隔板以减少震荡产生静电。</w:t>
            </w:r>
          </w:p>
          <w:p>
            <w:pPr>
              <w:pStyle w:val="TableParagraph"/>
              <w:spacing w:line="251" w:lineRule="exact"/>
              <w:ind w:left="107"/>
              <w:jc w:val="left"/>
              <w:rPr>
                <w:sz w:val="21"/>
              </w:rPr>
            </w:pPr>
            <w:r>
              <w:rPr>
                <w:sz w:val="21"/>
              </w:rPr>
              <w:t>严禁与氧化剂、还原剂、酸类、碱类、易燃物或可燃物、食用化学品等混装混运。运输途中应防</w:t>
            </w:r>
          </w:p>
        </w:tc>
      </w:tr>
    </w:tbl>
    <w:p>
      <w:pPr>
        <w:spacing w:after="0" w:line="251" w:lineRule="exact"/>
        <w:jc w:val="left"/>
        <w:rPr>
          <w:sz w:val="21"/>
        </w:rPr>
        <w:sectPr>
          <w:pgSz w:w="11910" w:h="16840"/>
          <w:pgMar w:header="0" w:footer="952" w:top="1580" w:bottom="1140" w:left="1240" w:right="1240"/>
        </w:sectPr>
      </w:pPr>
    </w:p>
    <w:p>
      <w:pPr>
        <w:pStyle w:val="BodyText"/>
        <w:rPr>
          <w:rFonts w:ascii="Times New Roman"/>
          <w:sz w:val="9"/>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100" w:hRule="atLeast"/>
        </w:trPr>
        <w:tc>
          <w:tcPr>
            <w:tcW w:w="9091" w:type="dxa"/>
            <w:tcBorders>
              <w:bottom w:val="thinThickMediumGap" w:sz="3" w:space="0" w:color="000000"/>
            </w:tcBorders>
          </w:tcPr>
          <w:p>
            <w:pPr>
              <w:pStyle w:val="TableParagraph"/>
              <w:spacing w:line="360" w:lineRule="exact" w:before="11"/>
              <w:ind w:left="107" w:right="90"/>
              <w:jc w:val="both"/>
              <w:rPr>
                <w:sz w:val="21"/>
              </w:rPr>
            </w:pPr>
            <w:r>
              <w:rPr>
                <w:sz w:val="21"/>
              </w:rPr>
              <w:t>曝晒、雨淋，防高温。中途停留时应远离火种、热源、高温区。装运该物品的车辆排气管必须配备阻火装置，禁止使用易产生火花的机械设备和工具装卸。公路运输时要按规定路线行驶，勿在居民区和人口稠密区停留。铁路运输时要禁止溜放。严禁用木船、水泥船散装运输</w:t>
            </w:r>
          </w:p>
        </w:tc>
      </w:tr>
    </w:tbl>
    <w:p>
      <w:pPr>
        <w:tabs>
          <w:tab w:pos="1478" w:val="left" w:leader="none"/>
        </w:tabs>
        <w:spacing w:before="4"/>
        <w:ind w:left="0" w:right="1" w:firstLine="0"/>
        <w:jc w:val="center"/>
        <w:rPr>
          <w:b/>
          <w:sz w:val="28"/>
        </w:rPr>
      </w:pPr>
      <w:r>
        <w:rPr>
          <w:b/>
          <w:sz w:val="28"/>
        </w:rPr>
        <w:t>表</w:t>
      </w:r>
      <w:r>
        <w:rPr>
          <w:b/>
          <w:spacing w:val="-70"/>
          <w:sz w:val="28"/>
        </w:rPr>
        <w:t> </w:t>
      </w:r>
      <w:r>
        <w:rPr>
          <w:b/>
          <w:sz w:val="28"/>
        </w:rPr>
        <w:t>3-1-8</w:t>
        <w:tab/>
        <w:t>氨水的理化性质及危险特性表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815"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tabs>
                <w:tab w:pos="8351" w:val="left" w:leader="none"/>
              </w:tabs>
              <w:spacing w:before="2"/>
              <w:ind w:left="527"/>
              <w:jc w:val="left"/>
              <w:rPr>
                <w:sz w:val="21"/>
              </w:rPr>
            </w:pPr>
            <w:r>
              <w:rPr>
                <w:sz w:val="21"/>
              </w:rPr>
              <w:t>化学品</w:t>
            </w:r>
            <w:r>
              <w:rPr>
                <w:spacing w:val="-3"/>
                <w:sz w:val="21"/>
              </w:rPr>
              <w:t>中</w:t>
            </w:r>
            <w:r>
              <w:rPr>
                <w:sz w:val="21"/>
              </w:rPr>
              <w:t>文名</w:t>
            </w:r>
            <w:r>
              <w:rPr>
                <w:spacing w:val="-3"/>
                <w:sz w:val="21"/>
              </w:rPr>
              <w:t>称</w:t>
            </w:r>
            <w:r>
              <w:rPr>
                <w:sz w:val="21"/>
              </w:rPr>
              <w:t>：</w:t>
            </w:r>
            <w:r>
              <w:rPr>
                <w:spacing w:val="-3"/>
                <w:sz w:val="21"/>
              </w:rPr>
              <w:t>氨</w:t>
            </w:r>
            <w:r>
              <w:rPr>
                <w:sz w:val="21"/>
              </w:rPr>
              <w:t>水</w:t>
            </w:r>
            <w:r>
              <w:rPr>
                <w:spacing w:val="3"/>
                <w:sz w:val="21"/>
              </w:rPr>
              <w:t> </w:t>
            </w:r>
            <w:r>
              <w:rPr>
                <w:spacing w:val="-3"/>
                <w:sz w:val="21"/>
              </w:rPr>
              <w:t>化</w:t>
            </w:r>
            <w:r>
              <w:rPr>
                <w:sz w:val="21"/>
              </w:rPr>
              <w:t>学品英</w:t>
            </w:r>
            <w:r>
              <w:rPr>
                <w:spacing w:val="-3"/>
                <w:sz w:val="21"/>
              </w:rPr>
              <w:t>文</w:t>
            </w:r>
            <w:r>
              <w:rPr>
                <w:sz w:val="21"/>
              </w:rPr>
              <w:t>名称：</w:t>
            </w:r>
            <w:r>
              <w:rPr>
                <w:rFonts w:ascii="Times New Roman" w:eastAsia="Times New Roman"/>
                <w:sz w:val="21"/>
              </w:rPr>
              <w:t>ammonium</w:t>
            </w:r>
            <w:r>
              <w:rPr>
                <w:rFonts w:ascii="Times New Roman" w:eastAsia="Times New Roman"/>
                <w:spacing w:val="1"/>
                <w:sz w:val="21"/>
              </w:rPr>
              <w:t> </w:t>
            </w:r>
            <w:r>
              <w:rPr>
                <w:rFonts w:ascii="Times New Roman" w:eastAsia="Times New Roman"/>
                <w:sz w:val="21"/>
              </w:rPr>
              <w:t>hydroxideCAS </w:t>
            </w:r>
            <w:r>
              <w:rPr>
                <w:rFonts w:ascii="Times New Roman" w:eastAsia="Times New Roman"/>
                <w:spacing w:val="2"/>
                <w:sz w:val="21"/>
              </w:rPr>
              <w:t> </w:t>
            </w:r>
            <w:r>
              <w:rPr>
                <w:sz w:val="21"/>
              </w:rPr>
              <w:t>号：</w:t>
            </w:r>
            <w:r>
              <w:rPr>
                <w:rFonts w:ascii="Times New Roman" w:eastAsia="Times New Roman"/>
                <w:sz w:val="21"/>
              </w:rPr>
              <w:t>1336-21-6</w:t>
              <w:tab/>
            </w:r>
            <w:r>
              <w:rPr>
                <w:sz w:val="21"/>
              </w:rPr>
              <w:t>危险性</w:t>
            </w:r>
          </w:p>
          <w:p>
            <w:pPr>
              <w:pStyle w:val="TableParagraph"/>
              <w:tabs>
                <w:tab w:pos="2788" w:val="left" w:leader="none"/>
                <w:tab w:pos="5095" w:val="left" w:leader="none"/>
              </w:tabs>
              <w:spacing w:line="250" w:lineRule="exact" w:before="4"/>
              <w:ind w:left="107"/>
              <w:jc w:val="left"/>
              <w:rPr>
                <w:rFonts w:ascii="Times New Roman" w:eastAsia="Times New Roman"/>
                <w:sz w:val="21"/>
              </w:rPr>
            </w:pPr>
            <w:r>
              <w:rPr>
                <w:sz w:val="21"/>
              </w:rPr>
              <w:t>类别</w:t>
            </w:r>
            <w:r>
              <w:rPr>
                <w:spacing w:val="-3"/>
                <w:sz w:val="21"/>
              </w:rPr>
              <w:t>：</w:t>
            </w:r>
            <w:r>
              <w:rPr>
                <w:sz w:val="21"/>
              </w:rPr>
              <w:t>第</w:t>
            </w:r>
            <w:r>
              <w:rPr>
                <w:spacing w:val="-51"/>
                <w:sz w:val="21"/>
              </w:rPr>
              <w:t> </w:t>
            </w:r>
            <w:r>
              <w:rPr>
                <w:rFonts w:ascii="Times New Roman" w:eastAsia="Times New Roman"/>
                <w:sz w:val="21"/>
              </w:rPr>
              <w:t>8.2</w:t>
            </w:r>
            <w:r>
              <w:rPr>
                <w:rFonts w:ascii="Times New Roman" w:eastAsia="Times New Roman"/>
                <w:spacing w:val="2"/>
                <w:sz w:val="21"/>
              </w:rPr>
              <w:t> </w:t>
            </w:r>
            <w:r>
              <w:rPr>
                <w:spacing w:val="-3"/>
                <w:sz w:val="21"/>
              </w:rPr>
              <w:t>类</w:t>
            </w:r>
            <w:r>
              <w:rPr>
                <w:sz w:val="21"/>
              </w:rPr>
              <w:t>碱</w:t>
            </w:r>
            <w:r>
              <w:rPr>
                <w:spacing w:val="-3"/>
                <w:sz w:val="21"/>
              </w:rPr>
              <w:t>性</w:t>
            </w:r>
            <w:r>
              <w:rPr>
                <w:sz w:val="21"/>
              </w:rPr>
              <w:t>腐</w:t>
            </w:r>
            <w:r>
              <w:rPr>
                <w:spacing w:val="-3"/>
                <w:sz w:val="21"/>
              </w:rPr>
              <w:t>蚀</w:t>
            </w:r>
            <w:r>
              <w:rPr>
                <w:sz w:val="21"/>
              </w:rPr>
              <w:t>品</w:t>
              <w:tab/>
            </w:r>
            <w:r>
              <w:rPr>
                <w:spacing w:val="-3"/>
                <w:sz w:val="21"/>
              </w:rPr>
              <w:t>危</w:t>
            </w:r>
            <w:r>
              <w:rPr>
                <w:sz w:val="21"/>
              </w:rPr>
              <w:t>险</w:t>
            </w:r>
            <w:r>
              <w:rPr>
                <w:spacing w:val="-3"/>
                <w:sz w:val="21"/>
              </w:rPr>
              <w:t>货</w:t>
            </w:r>
            <w:r>
              <w:rPr>
                <w:sz w:val="21"/>
              </w:rPr>
              <w:t>物</w:t>
            </w:r>
            <w:r>
              <w:rPr>
                <w:spacing w:val="-3"/>
                <w:sz w:val="21"/>
              </w:rPr>
              <w:t>编</w:t>
            </w:r>
            <w:r>
              <w:rPr>
                <w:sz w:val="21"/>
              </w:rPr>
              <w:t>号：</w:t>
            </w:r>
            <w:r>
              <w:rPr>
                <w:rFonts w:ascii="Times New Roman" w:eastAsia="Times New Roman"/>
                <w:sz w:val="21"/>
              </w:rPr>
              <w:t>82503</w:t>
              <w:tab/>
              <w:t>UN </w:t>
            </w:r>
            <w:r>
              <w:rPr>
                <w:sz w:val="21"/>
              </w:rPr>
              <w:t>编</w:t>
            </w:r>
            <w:r>
              <w:rPr>
                <w:spacing w:val="-3"/>
                <w:sz w:val="21"/>
              </w:rPr>
              <w:t>号</w:t>
            </w:r>
            <w:r>
              <w:rPr>
                <w:sz w:val="21"/>
              </w:rPr>
              <w:t>：</w:t>
            </w:r>
            <w:r>
              <w:rPr>
                <w:rFonts w:ascii="Times New Roman" w:eastAsia="Times New Roman"/>
                <w:sz w:val="21"/>
              </w:rPr>
              <w:t>2672</w:t>
            </w:r>
          </w:p>
        </w:tc>
      </w:tr>
      <w:tr>
        <w:trPr>
          <w:trHeight w:val="1907"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before="4"/>
              <w:ind w:left="527"/>
              <w:jc w:val="left"/>
              <w:rPr>
                <w:sz w:val="21"/>
              </w:rPr>
            </w:pPr>
            <w:r>
              <w:rPr>
                <w:sz w:val="21"/>
              </w:rPr>
              <w:t>侵入途径：吸入、食入。</w:t>
            </w:r>
          </w:p>
          <w:p>
            <w:pPr>
              <w:pStyle w:val="TableParagraph"/>
              <w:spacing w:line="244" w:lineRule="auto" w:before="2"/>
              <w:ind w:left="107" w:right="93" w:firstLine="419"/>
              <w:jc w:val="left"/>
              <w:rPr>
                <w:sz w:val="21"/>
              </w:rPr>
            </w:pPr>
            <w:r>
              <w:rPr>
                <w:sz w:val="21"/>
              </w:rPr>
              <w:t>健康危害：吸入后对鼻、喉和肺有刺激性，引起咳嗽、气短和哮喘等；重者发生喉头水肿、肺水肿、心、肝、肾损害等。溅入眼内可造成灼伤，皮肤接触可致灼伤。口服灼伤消化道。</w:t>
            </w:r>
          </w:p>
          <w:p>
            <w:pPr>
              <w:pStyle w:val="TableParagraph"/>
              <w:spacing w:line="265" w:lineRule="exact"/>
              <w:ind w:left="527"/>
              <w:jc w:val="left"/>
              <w:rPr>
                <w:sz w:val="21"/>
              </w:rPr>
            </w:pPr>
            <w:r>
              <w:rPr>
                <w:sz w:val="21"/>
              </w:rPr>
              <w:t>慢性影响：反复低浓度接触，可能引起支气管炎；可致皮炎害。</w:t>
            </w:r>
          </w:p>
          <w:p>
            <w:pPr>
              <w:pStyle w:val="TableParagraph"/>
              <w:spacing w:line="270" w:lineRule="atLeast" w:before="4"/>
              <w:ind w:left="107" w:right="30" w:firstLine="419"/>
              <w:jc w:val="left"/>
              <w:rPr>
                <w:sz w:val="21"/>
              </w:rPr>
            </w:pPr>
            <w:r>
              <w:rPr>
                <w:sz w:val="21"/>
              </w:rPr>
              <w:t>环境危害：由于呈碱性，该物质对环境有危害，对鱼类和哺乳动物应给予特别注意。 燃爆危险：无</w:t>
            </w:r>
          </w:p>
        </w:tc>
      </w:tr>
      <w:tr>
        <w:trPr>
          <w:trHeight w:val="1360"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急救措施</w:t>
            </w:r>
          </w:p>
          <w:p>
            <w:pPr>
              <w:pStyle w:val="TableParagraph"/>
              <w:spacing w:line="242" w:lineRule="auto" w:before="3"/>
              <w:ind w:left="107" w:right="-15" w:firstLine="419"/>
              <w:jc w:val="left"/>
              <w:rPr>
                <w:sz w:val="21"/>
              </w:rPr>
            </w:pPr>
            <w:r>
              <w:rPr>
                <w:spacing w:val="-5"/>
                <w:sz w:val="21"/>
              </w:rPr>
              <w:t>皮肤接触：立即脱去被污染的衣着，用大量流动清水冲洗，至少 </w:t>
            </w:r>
            <w:r>
              <w:rPr>
                <w:rFonts w:ascii="Times New Roman" w:eastAsia="Times New Roman"/>
                <w:sz w:val="21"/>
              </w:rPr>
              <w:t>15</w:t>
            </w:r>
            <w:r>
              <w:rPr>
                <w:rFonts w:ascii="Times New Roman" w:eastAsia="Times New Roman"/>
                <w:spacing w:val="13"/>
                <w:sz w:val="21"/>
              </w:rPr>
              <w:t> </w:t>
            </w:r>
            <w:r>
              <w:rPr>
                <w:spacing w:val="-8"/>
                <w:sz w:val="21"/>
              </w:rPr>
              <w:t>分钟。就医。 眼睛接触： </w:t>
            </w:r>
            <w:r>
              <w:rPr>
                <w:spacing w:val="-11"/>
                <w:sz w:val="21"/>
              </w:rPr>
              <w:t>立即提起眼睑，用大量流动清水或生理盐水彻底冲洗，至少 </w:t>
            </w:r>
            <w:r>
              <w:rPr>
                <w:rFonts w:ascii="Times New Roman" w:eastAsia="Times New Roman"/>
                <w:sz w:val="21"/>
              </w:rPr>
              <w:t>15</w:t>
            </w:r>
            <w:r>
              <w:rPr>
                <w:rFonts w:ascii="Times New Roman" w:eastAsia="Times New Roman"/>
                <w:spacing w:val="7"/>
                <w:sz w:val="21"/>
              </w:rPr>
              <w:t> </w:t>
            </w:r>
            <w:r>
              <w:rPr>
                <w:spacing w:val="-3"/>
                <w:sz w:val="21"/>
              </w:rPr>
              <w:t>分钟。就医。吸入：迅速脱离现场</w:t>
            </w:r>
            <w:r>
              <w:rPr>
                <w:spacing w:val="-13"/>
                <w:sz w:val="21"/>
              </w:rPr>
              <w:t>至空气新鲜处。保持呼吸道通畅。如呼吸困难，给输氧。如呼吸停止，立即进行人工呼吸。就医。</w:t>
            </w:r>
          </w:p>
          <w:p>
            <w:pPr>
              <w:pStyle w:val="TableParagraph"/>
              <w:spacing w:line="250" w:lineRule="exact" w:before="3"/>
              <w:ind w:left="527"/>
              <w:jc w:val="left"/>
              <w:rPr>
                <w:sz w:val="21"/>
              </w:rPr>
            </w:pPr>
            <w:r>
              <w:rPr>
                <w:sz w:val="21"/>
              </w:rPr>
              <w:t>食入：误服者用水漱口，给饮牛奶或蛋清。就医。</w:t>
            </w:r>
          </w:p>
        </w:tc>
      </w:tr>
      <w:tr>
        <w:trPr>
          <w:trHeight w:val="1091"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消防措施</w:t>
            </w:r>
          </w:p>
          <w:p>
            <w:pPr>
              <w:pStyle w:val="TableParagraph"/>
              <w:spacing w:line="242" w:lineRule="auto" w:before="4"/>
              <w:ind w:left="527" w:right="136"/>
              <w:jc w:val="left"/>
              <w:rPr>
                <w:sz w:val="21"/>
              </w:rPr>
            </w:pPr>
            <w:r>
              <w:rPr>
                <w:spacing w:val="-8"/>
                <w:sz w:val="21"/>
              </w:rPr>
              <w:t>危险特性：对铜、铝等金属具有较强的腐蚀性。基本无火灾危险。 有害燃烧产物：不燃烧。</w:t>
            </w:r>
            <w:r>
              <w:rPr>
                <w:spacing w:val="-10"/>
                <w:sz w:val="21"/>
              </w:rPr>
              <w:t>灭火方法： 灭火剂：水、雾状水、沙土。</w:t>
            </w:r>
          </w:p>
          <w:p>
            <w:pPr>
              <w:pStyle w:val="TableParagraph"/>
              <w:spacing w:line="252" w:lineRule="exact" w:before="1"/>
              <w:ind w:left="527"/>
              <w:jc w:val="left"/>
              <w:rPr>
                <w:sz w:val="21"/>
              </w:rPr>
            </w:pPr>
            <w:r>
              <w:rPr>
                <w:sz w:val="21"/>
              </w:rPr>
              <w:t>灭火注意事项：佩戴呼吸、眼睛、手脚等防护用品，用雾状水覆盖烟雾、灭火</w:t>
            </w:r>
          </w:p>
        </w:tc>
      </w:tr>
      <w:tr>
        <w:trPr>
          <w:trHeight w:val="1633"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泄漏应急处理</w:t>
            </w:r>
          </w:p>
          <w:p>
            <w:pPr>
              <w:pStyle w:val="TableParagraph"/>
              <w:spacing w:before="3"/>
              <w:ind w:left="530"/>
              <w:jc w:val="left"/>
              <w:rPr>
                <w:sz w:val="21"/>
              </w:rPr>
            </w:pPr>
            <w:r>
              <w:rPr>
                <w:sz w:val="21"/>
              </w:rPr>
              <w:t>迅速将泄漏污染区的人员撤离至安全区域。应急处理人员应戴自给正压</w:t>
            </w:r>
          </w:p>
          <w:p>
            <w:pPr>
              <w:pStyle w:val="TableParagraph"/>
              <w:spacing w:line="242" w:lineRule="auto" w:before="4"/>
              <w:ind w:left="107" w:right="91"/>
              <w:jc w:val="both"/>
              <w:rPr>
                <w:sz w:val="21"/>
              </w:rPr>
            </w:pPr>
            <w:r>
              <w:rPr>
                <w:sz w:val="21"/>
              </w:rPr>
              <w:t>式呼吸器，穿防酸碱工作服。设法切断泄漏源，防止进入下水道、排洪沟等限制性空间。小量泄漏：用砂土、稀硫酸混合。也可用大量水冲洗，洗水稀释后放入废水系统。大量泄漏：构筑围堤或挖坑收容；用泵转移至槽车或专用收集器内，用酸性溶液中和至中性后排放，并应对泄漏现场</w:t>
            </w:r>
          </w:p>
          <w:p>
            <w:pPr>
              <w:pStyle w:val="TableParagraph"/>
              <w:spacing w:line="252" w:lineRule="exact" w:before="1"/>
              <w:ind w:left="107"/>
              <w:jc w:val="left"/>
              <w:rPr>
                <w:sz w:val="21"/>
              </w:rPr>
            </w:pPr>
            <w:r>
              <w:rPr>
                <w:sz w:val="21"/>
              </w:rPr>
              <w:t>作进一步的清洗</w:t>
            </w:r>
          </w:p>
        </w:tc>
      </w:tr>
      <w:tr>
        <w:trPr>
          <w:trHeight w:val="108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4" w:lineRule="auto" w:before="2"/>
              <w:ind w:left="107" w:right="91" w:firstLine="419"/>
              <w:jc w:val="left"/>
              <w:rPr>
                <w:sz w:val="21"/>
              </w:rPr>
            </w:pPr>
            <w:r>
              <w:rPr>
                <w:spacing w:val="-4"/>
                <w:sz w:val="21"/>
              </w:rPr>
              <w:t>操作处置注意事项：密闭操作，注意通风。尽可能机械化、自动化。提供洗眼设备。 储存注</w:t>
            </w:r>
            <w:r>
              <w:rPr>
                <w:spacing w:val="-3"/>
                <w:sz w:val="21"/>
              </w:rPr>
              <w:t>意事项：储存于阴凉、干燥、通风良好的仓房。应与酸类、无机过氧化物、易燃或</w:t>
            </w:r>
          </w:p>
          <w:p>
            <w:pPr>
              <w:pStyle w:val="TableParagraph"/>
              <w:spacing w:line="248" w:lineRule="exact"/>
              <w:ind w:left="527"/>
              <w:jc w:val="left"/>
              <w:rPr>
                <w:sz w:val="21"/>
              </w:rPr>
            </w:pPr>
            <w:r>
              <w:rPr>
                <w:spacing w:val="-3"/>
                <w:sz w:val="21"/>
              </w:rPr>
              <w:t>可燃物等分开存放。不可混贮共运。搬运时要轻装轻卸，防止包装及容器损坏</w:t>
            </w:r>
          </w:p>
        </w:tc>
      </w:tr>
      <w:tr>
        <w:trPr>
          <w:trHeight w:val="272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2"/>
              <w:ind w:left="482"/>
              <w:jc w:val="left"/>
              <w:rPr>
                <w:sz w:val="21"/>
              </w:rPr>
            </w:pPr>
            <w:r>
              <w:rPr>
                <w:sz w:val="21"/>
              </w:rPr>
              <w:t>检测方法：纳氏试剂比色法</w:t>
            </w:r>
          </w:p>
          <w:p>
            <w:pPr>
              <w:pStyle w:val="TableParagraph"/>
              <w:spacing w:line="242" w:lineRule="auto" w:before="4"/>
              <w:ind w:left="107" w:right="95" w:firstLine="374"/>
              <w:jc w:val="left"/>
              <w:rPr>
                <w:sz w:val="21"/>
              </w:rPr>
            </w:pPr>
            <w:r>
              <w:rPr>
                <w:sz w:val="21"/>
              </w:rPr>
              <w:t>工程控制：在操作、搬运和使用的作业过程中，应注意生产设备、盛装容器的密封性，防止泄漏。</w:t>
            </w:r>
          </w:p>
          <w:p>
            <w:pPr>
              <w:pStyle w:val="TableParagraph"/>
              <w:spacing w:line="242" w:lineRule="auto" w:before="2"/>
              <w:ind w:left="107" w:right="95" w:firstLine="374"/>
              <w:jc w:val="left"/>
              <w:rPr>
                <w:sz w:val="21"/>
              </w:rPr>
            </w:pPr>
            <w:r>
              <w:rPr>
                <w:sz w:val="21"/>
              </w:rPr>
              <w:t>呼吸系统防护：可佩戴自吸过滤式防毒面具（全面罩）或空气呼吸器。紧急事态抢救或撤离时，佩戴氧气呼吸器。</w:t>
            </w:r>
          </w:p>
          <w:p>
            <w:pPr>
              <w:pStyle w:val="TableParagraph"/>
              <w:spacing w:line="242" w:lineRule="auto" w:before="1"/>
              <w:ind w:left="107" w:right="93" w:firstLine="374"/>
              <w:jc w:val="left"/>
              <w:rPr>
                <w:sz w:val="21"/>
              </w:rPr>
            </w:pPr>
            <w:r>
              <w:rPr>
                <w:spacing w:val="-6"/>
                <w:sz w:val="21"/>
              </w:rPr>
              <w:t>眼睛防护：呼吸系统防护中已作防护。 身体防护：穿橡胶耐酸碱服。 手防护：戴橡胶耐酸碱手套。</w:t>
            </w:r>
          </w:p>
          <w:p>
            <w:pPr>
              <w:pStyle w:val="TableParagraph"/>
              <w:spacing w:before="1"/>
              <w:ind w:left="482"/>
              <w:jc w:val="left"/>
              <w:rPr>
                <w:sz w:val="21"/>
              </w:rPr>
            </w:pPr>
            <w:r>
              <w:rPr>
                <w:sz w:val="21"/>
              </w:rPr>
              <w:t>其它防护：工作现场禁止吸烟、进食和饮水。饭前要洗手。工作毕，淋浴更衣。单独存放被</w:t>
            </w:r>
          </w:p>
          <w:p>
            <w:pPr>
              <w:pStyle w:val="TableParagraph"/>
              <w:spacing w:line="252" w:lineRule="exact" w:before="2"/>
              <w:ind w:left="107"/>
              <w:jc w:val="left"/>
              <w:rPr>
                <w:sz w:val="21"/>
              </w:rPr>
            </w:pPr>
            <w:r>
              <w:rPr>
                <w:sz w:val="21"/>
              </w:rPr>
              <w:t>毒物污染的衣服，洗后备用。保持良好的卫生习惯</w:t>
            </w:r>
          </w:p>
        </w:tc>
      </w:tr>
      <w:tr>
        <w:trPr>
          <w:trHeight w:val="1353" w:hRule="atLeast"/>
        </w:trPr>
        <w:tc>
          <w:tcPr>
            <w:tcW w:w="9091" w:type="dxa"/>
            <w:tcBorders>
              <w:top w:val="single" w:sz="6" w:space="0" w:color="000000"/>
            </w:tcBorders>
          </w:tcPr>
          <w:p>
            <w:pPr>
              <w:pStyle w:val="TableParagraph"/>
              <w:ind w:left="107"/>
              <w:jc w:val="left"/>
              <w:rPr>
                <w:b/>
                <w:sz w:val="21"/>
              </w:rPr>
            </w:pPr>
            <w:r>
              <w:rPr>
                <w:b/>
                <w:sz w:val="21"/>
              </w:rPr>
              <w:t>理化特性</w:t>
            </w:r>
          </w:p>
          <w:p>
            <w:pPr>
              <w:pStyle w:val="TableParagraph"/>
              <w:tabs>
                <w:tab w:pos="4202" w:val="left" w:leader="none"/>
              </w:tabs>
              <w:spacing w:before="92"/>
              <w:ind w:left="587"/>
              <w:jc w:val="left"/>
              <w:rPr>
                <w:rFonts w:ascii="Times New Roman" w:eastAsia="Times New Roman"/>
                <w:sz w:val="21"/>
              </w:rPr>
            </w:pPr>
            <w:r>
              <w:rPr>
                <w:spacing w:val="12"/>
                <w:w w:val="100"/>
                <w:sz w:val="21"/>
              </w:rPr>
              <w:t>外</w:t>
            </w:r>
            <w:r>
              <w:rPr>
                <w:spacing w:val="9"/>
                <w:w w:val="100"/>
                <w:sz w:val="21"/>
              </w:rPr>
              <w:t>观与性</w:t>
            </w:r>
            <w:r>
              <w:rPr>
                <w:spacing w:val="11"/>
                <w:w w:val="100"/>
                <w:sz w:val="21"/>
              </w:rPr>
              <w:t>状</w:t>
            </w:r>
            <w:r>
              <w:rPr>
                <w:spacing w:val="9"/>
                <w:w w:val="100"/>
                <w:sz w:val="21"/>
              </w:rPr>
              <w:t>：无</w:t>
            </w:r>
            <w:r>
              <w:rPr>
                <w:spacing w:val="12"/>
                <w:w w:val="100"/>
                <w:sz w:val="21"/>
              </w:rPr>
              <w:t>色</w:t>
            </w:r>
            <w:r>
              <w:rPr>
                <w:spacing w:val="9"/>
                <w:w w:val="100"/>
                <w:sz w:val="21"/>
              </w:rPr>
              <w:t>透明液</w:t>
            </w:r>
            <w:r>
              <w:rPr>
                <w:w w:val="100"/>
                <w:sz w:val="21"/>
              </w:rPr>
              <w:t>体</w:t>
            </w:r>
            <w:r>
              <w:rPr>
                <w:sz w:val="21"/>
              </w:rPr>
              <w:tab/>
            </w:r>
            <w:r>
              <w:rPr>
                <w:spacing w:val="9"/>
                <w:w w:val="100"/>
                <w:sz w:val="21"/>
              </w:rPr>
              <w:t>相</w:t>
            </w:r>
            <w:r>
              <w:rPr>
                <w:spacing w:val="12"/>
                <w:w w:val="100"/>
                <w:sz w:val="21"/>
              </w:rPr>
              <w:t>对</w:t>
            </w:r>
            <w:r>
              <w:rPr>
                <w:spacing w:val="9"/>
                <w:w w:val="100"/>
                <w:sz w:val="21"/>
              </w:rPr>
              <w:t>密度（</w:t>
            </w:r>
            <w:r>
              <w:rPr>
                <w:spacing w:val="12"/>
                <w:w w:val="100"/>
                <w:sz w:val="21"/>
              </w:rPr>
              <w:t>水</w:t>
            </w:r>
            <w:r>
              <w:rPr>
                <w:rFonts w:ascii="Times New Roman" w:eastAsia="Times New Roman"/>
                <w:spacing w:val="-2"/>
                <w:w w:val="100"/>
                <w:sz w:val="21"/>
              </w:rPr>
              <w:t>=</w:t>
            </w:r>
            <w:r>
              <w:rPr>
                <w:rFonts w:ascii="Times New Roman" w:eastAsia="Times New Roman"/>
                <w:spacing w:val="12"/>
                <w:w w:val="100"/>
                <w:sz w:val="21"/>
              </w:rPr>
              <w:t>1</w:t>
            </w:r>
            <w:r>
              <w:rPr>
                <w:spacing w:val="-96"/>
                <w:w w:val="100"/>
                <w:sz w:val="21"/>
              </w:rPr>
              <w:t>）</w:t>
            </w:r>
            <w:r>
              <w:rPr>
                <w:spacing w:val="11"/>
                <w:w w:val="100"/>
                <w:sz w:val="21"/>
              </w:rPr>
              <w:t>：</w:t>
            </w:r>
            <w:r>
              <w:rPr>
                <w:rFonts w:ascii="Times New Roman" w:eastAsia="Times New Roman"/>
                <w:w w:val="100"/>
                <w:sz w:val="21"/>
              </w:rPr>
              <w:t>0</w:t>
            </w:r>
            <w:r>
              <w:rPr>
                <w:rFonts w:ascii="Times New Roman" w:eastAsia="Times New Roman"/>
                <w:spacing w:val="-3"/>
                <w:w w:val="100"/>
                <w:sz w:val="21"/>
              </w:rPr>
              <w:t>.</w:t>
            </w:r>
            <w:r>
              <w:rPr>
                <w:rFonts w:ascii="Times New Roman" w:eastAsia="Times New Roman"/>
                <w:w w:val="100"/>
                <w:sz w:val="21"/>
              </w:rPr>
              <w:t>91</w:t>
            </w:r>
            <w:r>
              <w:rPr>
                <w:rFonts w:ascii="Times New Roman" w:eastAsia="Times New Roman"/>
                <w:sz w:val="21"/>
              </w:rPr>
              <w:t> </w:t>
            </w:r>
            <w:r>
              <w:rPr>
                <w:rFonts w:ascii="Times New Roman" w:eastAsia="Times New Roman"/>
                <w:spacing w:val="10"/>
                <w:sz w:val="21"/>
              </w:rPr>
              <w:t> </w:t>
            </w:r>
            <w:r>
              <w:rPr>
                <w:spacing w:val="9"/>
                <w:w w:val="100"/>
                <w:sz w:val="21"/>
              </w:rPr>
              <w:t>饱和</w:t>
            </w:r>
            <w:r>
              <w:rPr>
                <w:spacing w:val="12"/>
                <w:w w:val="100"/>
                <w:sz w:val="21"/>
              </w:rPr>
              <w:t>蒸</w:t>
            </w:r>
            <w:r>
              <w:rPr>
                <w:spacing w:val="9"/>
                <w:w w:val="100"/>
                <w:sz w:val="21"/>
              </w:rPr>
              <w:t>气压</w:t>
            </w:r>
            <w:r>
              <w:rPr>
                <w:spacing w:val="12"/>
                <w:w w:val="100"/>
                <w:sz w:val="21"/>
              </w:rPr>
              <w:t>（</w:t>
            </w:r>
            <w:r>
              <w:rPr>
                <w:rFonts w:ascii="Times New Roman" w:eastAsia="Times New Roman"/>
                <w:spacing w:val="-4"/>
                <w:w w:val="100"/>
                <w:sz w:val="21"/>
              </w:rPr>
              <w:t>K</w:t>
            </w:r>
            <w:r>
              <w:rPr>
                <w:rFonts w:ascii="Times New Roman" w:eastAsia="Times New Roman"/>
                <w:w w:val="100"/>
                <w:sz w:val="21"/>
              </w:rPr>
              <w:t>p</w:t>
            </w:r>
            <w:r>
              <w:rPr>
                <w:rFonts w:ascii="Times New Roman" w:eastAsia="Times New Roman"/>
                <w:spacing w:val="11"/>
                <w:w w:val="100"/>
                <w:sz w:val="21"/>
              </w:rPr>
              <w:t>a</w:t>
            </w:r>
            <w:r>
              <w:rPr>
                <w:spacing w:val="-94"/>
                <w:w w:val="100"/>
                <w:sz w:val="21"/>
              </w:rPr>
              <w:t>）</w:t>
            </w:r>
            <w:r>
              <w:rPr>
                <w:spacing w:val="9"/>
                <w:w w:val="100"/>
                <w:sz w:val="21"/>
              </w:rPr>
              <w:t>：</w:t>
            </w:r>
            <w:r>
              <w:rPr>
                <w:rFonts w:ascii="Times New Roman" w:eastAsia="Times New Roman"/>
                <w:w w:val="100"/>
                <w:sz w:val="21"/>
              </w:rPr>
              <w:t>1.59</w:t>
            </w:r>
          </w:p>
          <w:p>
            <w:pPr>
              <w:pStyle w:val="TableParagraph"/>
              <w:tabs>
                <w:tab w:pos="3057" w:val="left" w:leader="none"/>
                <w:tab w:pos="6388" w:val="left" w:leader="none"/>
              </w:tabs>
              <w:spacing w:line="360" w:lineRule="atLeast"/>
              <w:ind w:left="107" w:right="93"/>
              <w:jc w:val="left"/>
              <w:rPr>
                <w:sz w:val="21"/>
              </w:rPr>
            </w:pPr>
            <w:r>
              <w:rPr>
                <w:spacing w:val="2"/>
                <w:w w:val="100"/>
                <w:sz w:val="21"/>
              </w:rPr>
              <w:t>（</w:t>
            </w:r>
            <w:r>
              <w:rPr>
                <w:rFonts w:ascii="Times New Roman" w:hAnsi="Times New Roman" w:eastAsia="Times New Roman"/>
                <w:w w:val="100"/>
                <w:sz w:val="21"/>
              </w:rPr>
              <w:t>2</w:t>
            </w:r>
            <w:r>
              <w:rPr>
                <w:rFonts w:ascii="Times New Roman" w:hAnsi="Times New Roman" w:eastAsia="Times New Roman"/>
                <w:spacing w:val="-3"/>
                <w:w w:val="100"/>
                <w:sz w:val="21"/>
              </w:rPr>
              <w:t>0</w:t>
            </w:r>
            <w:r>
              <w:rPr>
                <w:w w:val="100"/>
                <w:sz w:val="21"/>
              </w:rPr>
              <w:t>℃）</w:t>
            </w:r>
            <w:r>
              <w:rPr>
                <w:sz w:val="21"/>
              </w:rPr>
              <w:tab/>
            </w:r>
            <w:r>
              <w:rPr>
                <w:w w:val="100"/>
                <w:sz w:val="21"/>
              </w:rPr>
              <w:t>引</w:t>
            </w:r>
            <w:r>
              <w:rPr>
                <w:spacing w:val="2"/>
                <w:w w:val="100"/>
                <w:sz w:val="21"/>
              </w:rPr>
              <w:t>燃</w:t>
            </w:r>
            <w:r>
              <w:rPr>
                <w:w w:val="100"/>
                <w:sz w:val="21"/>
              </w:rPr>
              <w:t>温</w:t>
            </w:r>
            <w:r>
              <w:rPr>
                <w:spacing w:val="-1"/>
                <w:w w:val="100"/>
                <w:sz w:val="21"/>
              </w:rPr>
              <w:t>度</w:t>
            </w:r>
            <w:r>
              <w:rPr>
                <w:spacing w:val="2"/>
                <w:w w:val="100"/>
                <w:sz w:val="21"/>
              </w:rPr>
              <w:t>（</w:t>
            </w:r>
            <w:r>
              <w:rPr>
                <w:w w:val="100"/>
                <w:sz w:val="21"/>
              </w:rPr>
              <w:t>℃</w:t>
            </w:r>
            <w:r>
              <w:rPr>
                <w:spacing w:val="-106"/>
                <w:w w:val="100"/>
                <w:sz w:val="21"/>
              </w:rPr>
              <w:t>）</w:t>
            </w:r>
            <w:r>
              <w:rPr>
                <w:spacing w:val="2"/>
                <w:w w:val="100"/>
                <w:sz w:val="21"/>
              </w:rPr>
              <w:t>：</w:t>
            </w:r>
            <w:r>
              <w:rPr>
                <w:w w:val="100"/>
                <w:sz w:val="21"/>
              </w:rPr>
              <w:t>无</w:t>
            </w:r>
            <w:r>
              <w:rPr>
                <w:spacing w:val="2"/>
                <w:w w:val="100"/>
                <w:sz w:val="21"/>
              </w:rPr>
              <w:t>意</w:t>
            </w:r>
            <w:r>
              <w:rPr>
                <w:w w:val="100"/>
                <w:sz w:val="21"/>
              </w:rPr>
              <w:t>义</w:t>
            </w:r>
            <w:r>
              <w:rPr>
                <w:sz w:val="21"/>
              </w:rPr>
              <w:tab/>
            </w:r>
            <w:r>
              <w:rPr>
                <w:spacing w:val="2"/>
                <w:w w:val="100"/>
                <w:sz w:val="21"/>
              </w:rPr>
              <w:t>溶</w:t>
            </w:r>
            <w:r>
              <w:rPr>
                <w:w w:val="100"/>
                <w:sz w:val="21"/>
              </w:rPr>
              <w:t>解</w:t>
            </w:r>
            <w:r>
              <w:rPr>
                <w:spacing w:val="-1"/>
                <w:w w:val="100"/>
                <w:sz w:val="21"/>
              </w:rPr>
              <w:t>性</w:t>
            </w:r>
            <w:r>
              <w:rPr>
                <w:w w:val="100"/>
                <w:sz w:val="21"/>
              </w:rPr>
              <w:t>：</w:t>
            </w:r>
            <w:r>
              <w:rPr>
                <w:spacing w:val="2"/>
                <w:w w:val="100"/>
                <w:sz w:val="21"/>
              </w:rPr>
              <w:t>溶</w:t>
            </w:r>
            <w:r>
              <w:rPr>
                <w:w w:val="100"/>
                <w:sz w:val="21"/>
              </w:rPr>
              <w:t>于水</w:t>
            </w:r>
            <w:r>
              <w:rPr>
                <w:spacing w:val="2"/>
                <w:w w:val="100"/>
                <w:sz w:val="21"/>
              </w:rPr>
              <w:t>、</w:t>
            </w:r>
            <w:r>
              <w:rPr>
                <w:w w:val="100"/>
                <w:sz w:val="21"/>
              </w:rPr>
              <w:t>醇。</w:t>
            </w:r>
            <w:r>
              <w:rPr>
                <w:spacing w:val="-50"/>
                <w:sz w:val="21"/>
              </w:rPr>
              <w:t> </w:t>
            </w:r>
            <w:r>
              <w:rPr>
                <w:w w:val="100"/>
                <w:sz w:val="21"/>
              </w:rPr>
              <w:t>主</w:t>
            </w:r>
            <w:r>
              <w:rPr>
                <w:spacing w:val="-15"/>
                <w:w w:val="100"/>
                <w:sz w:val="21"/>
              </w:rPr>
              <w:t>要</w:t>
            </w:r>
            <w:r>
              <w:rPr>
                <w:sz w:val="21"/>
              </w:rPr>
              <w:t>用途</w:t>
            </w:r>
            <w:r>
              <w:rPr>
                <w:spacing w:val="-3"/>
                <w:sz w:val="21"/>
              </w:rPr>
              <w:t>：</w:t>
            </w:r>
            <w:r>
              <w:rPr>
                <w:sz w:val="21"/>
              </w:rPr>
              <w:t>用</w:t>
            </w:r>
            <w:r>
              <w:rPr>
                <w:spacing w:val="-3"/>
                <w:sz w:val="21"/>
              </w:rPr>
              <w:t>于</w:t>
            </w:r>
            <w:r>
              <w:rPr>
                <w:sz w:val="21"/>
              </w:rPr>
              <w:t>制</w:t>
            </w:r>
            <w:r>
              <w:rPr>
                <w:spacing w:val="-3"/>
                <w:sz w:val="21"/>
              </w:rPr>
              <w:t>药</w:t>
            </w:r>
            <w:r>
              <w:rPr>
                <w:sz w:val="21"/>
              </w:rPr>
              <w:t>、</w:t>
            </w:r>
            <w:r>
              <w:rPr>
                <w:spacing w:val="-3"/>
                <w:sz w:val="21"/>
              </w:rPr>
              <w:t>纱</w:t>
            </w:r>
            <w:r>
              <w:rPr>
                <w:sz w:val="21"/>
              </w:rPr>
              <w:t>罩</w:t>
            </w:r>
            <w:r>
              <w:rPr>
                <w:spacing w:val="-3"/>
                <w:sz w:val="21"/>
              </w:rPr>
              <w:t>业</w:t>
            </w:r>
            <w:r>
              <w:rPr>
                <w:sz w:val="21"/>
              </w:rPr>
              <w:t>、晒</w:t>
            </w:r>
            <w:r>
              <w:rPr>
                <w:spacing w:val="-3"/>
                <w:sz w:val="21"/>
              </w:rPr>
              <w:t>图</w:t>
            </w:r>
            <w:r>
              <w:rPr>
                <w:sz w:val="21"/>
              </w:rPr>
              <w:t>、</w:t>
            </w:r>
            <w:r>
              <w:rPr>
                <w:spacing w:val="-3"/>
                <w:sz w:val="21"/>
              </w:rPr>
              <w:t>农</w:t>
            </w:r>
            <w:r>
              <w:rPr>
                <w:sz w:val="21"/>
              </w:rPr>
              <w:t>业</w:t>
            </w:r>
            <w:r>
              <w:rPr>
                <w:spacing w:val="-3"/>
                <w:sz w:val="21"/>
              </w:rPr>
              <w:t>施</w:t>
            </w:r>
            <w:r>
              <w:rPr>
                <w:sz w:val="21"/>
              </w:rPr>
              <w:t>肥等</w:t>
            </w:r>
          </w:p>
        </w:tc>
      </w:tr>
    </w:tbl>
    <w:p>
      <w:pPr>
        <w:spacing w:after="0" w:line="360" w:lineRule="atLeast"/>
        <w:jc w:val="left"/>
        <w:rPr>
          <w:sz w:val="21"/>
        </w:rPr>
        <w:sectPr>
          <w:pgSz w:w="11910" w:h="16840"/>
          <w:pgMar w:header="0" w:footer="952" w:top="1580" w:bottom="1140" w:left="1240" w:right="1240"/>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544" w:hRule="atLeast"/>
        </w:trPr>
        <w:tc>
          <w:tcPr>
            <w:tcW w:w="9091" w:type="dxa"/>
            <w:tcBorders>
              <w:bottom w:val="single" w:sz="6" w:space="0" w:color="000000"/>
            </w:tcBorders>
          </w:tcPr>
          <w:p>
            <w:pPr>
              <w:pStyle w:val="TableParagraph"/>
              <w:spacing w:before="1"/>
              <w:ind w:right="7915"/>
              <w:jc w:val="right"/>
              <w:rPr>
                <w:b/>
                <w:sz w:val="21"/>
              </w:rPr>
            </w:pPr>
            <w:r>
              <w:rPr>
                <w:b/>
                <w:sz w:val="21"/>
              </w:rPr>
              <w:t>毒理学资料</w:t>
            </w:r>
          </w:p>
          <w:p>
            <w:pPr>
              <w:pStyle w:val="TableParagraph"/>
              <w:spacing w:line="252" w:lineRule="exact" w:before="2"/>
              <w:ind w:right="7855"/>
              <w:jc w:val="right"/>
              <w:rPr>
                <w:sz w:val="21"/>
              </w:rPr>
            </w:pPr>
            <w:r>
              <w:rPr>
                <w:sz w:val="21"/>
              </w:rPr>
              <w:t>无资料</w:t>
            </w:r>
          </w:p>
        </w:tc>
      </w:tr>
      <w:tr>
        <w:trPr>
          <w:trHeight w:val="1089" w:hRule="atLeast"/>
        </w:trPr>
        <w:tc>
          <w:tcPr>
            <w:tcW w:w="9091" w:type="dxa"/>
            <w:tcBorders>
              <w:top w:val="single" w:sz="6" w:space="0" w:color="000000"/>
            </w:tcBorders>
          </w:tcPr>
          <w:p>
            <w:pPr>
              <w:pStyle w:val="TableParagraph"/>
              <w:spacing w:before="1"/>
              <w:ind w:left="107"/>
              <w:jc w:val="left"/>
              <w:rPr>
                <w:b/>
                <w:sz w:val="21"/>
              </w:rPr>
            </w:pPr>
            <w:r>
              <w:rPr>
                <w:b/>
                <w:sz w:val="21"/>
              </w:rPr>
              <w:t>运输信息</w:t>
            </w:r>
          </w:p>
          <w:p>
            <w:pPr>
              <w:pStyle w:val="TableParagraph"/>
              <w:tabs>
                <w:tab w:pos="2534" w:val="left" w:leader="none"/>
              </w:tabs>
              <w:spacing w:before="2"/>
              <w:ind w:left="590"/>
              <w:jc w:val="left"/>
              <w:rPr>
                <w:sz w:val="21"/>
              </w:rPr>
            </w:pPr>
            <w:r>
              <w:rPr>
                <w:sz w:val="21"/>
              </w:rPr>
              <w:t>包装</w:t>
            </w:r>
            <w:r>
              <w:rPr>
                <w:spacing w:val="-3"/>
                <w:sz w:val="21"/>
              </w:rPr>
              <w:t>标</w:t>
            </w:r>
            <w:r>
              <w:rPr>
                <w:sz w:val="21"/>
              </w:rPr>
              <w:t>志：</w:t>
            </w:r>
            <w:r>
              <w:rPr>
                <w:rFonts w:ascii="Times New Roman" w:hAnsi="Times New Roman" w:eastAsia="Times New Roman"/>
                <w:sz w:val="21"/>
              </w:rPr>
              <w:t>20</w:t>
              <w:tab/>
            </w:r>
            <w:r>
              <w:rPr>
                <w:spacing w:val="-3"/>
                <w:sz w:val="21"/>
              </w:rPr>
              <w:t>包装</w:t>
            </w:r>
            <w:r>
              <w:rPr>
                <w:sz w:val="21"/>
              </w:rPr>
              <w:t>分类：Ⅲ</w:t>
            </w:r>
          </w:p>
          <w:p>
            <w:pPr>
              <w:pStyle w:val="TableParagraph"/>
              <w:spacing w:line="270" w:lineRule="atLeast" w:before="3"/>
              <w:ind w:left="590" w:right="-15"/>
              <w:jc w:val="left"/>
              <w:rPr>
                <w:sz w:val="21"/>
              </w:rPr>
            </w:pPr>
            <w:r>
              <w:rPr>
                <w:spacing w:val="-12"/>
                <w:sz w:val="21"/>
              </w:rPr>
              <w:t>包装方法：小开口钢桶、螺纹口玻璃瓶、塑料槽罐、金属桶</w:t>
            </w:r>
            <w:r>
              <w:rPr>
                <w:spacing w:val="-3"/>
                <w:sz w:val="21"/>
              </w:rPr>
              <w:t>（</w:t>
            </w:r>
            <w:r>
              <w:rPr>
                <w:sz w:val="21"/>
              </w:rPr>
              <w:t>罐</w:t>
            </w:r>
            <w:r>
              <w:rPr>
                <w:spacing w:val="-25"/>
                <w:sz w:val="21"/>
              </w:rPr>
              <w:t>）</w:t>
            </w:r>
            <w:r>
              <w:rPr>
                <w:spacing w:val="-1"/>
                <w:sz w:val="21"/>
              </w:rPr>
              <w:t>外木板箱。运输注意事项： </w:t>
            </w:r>
            <w:r>
              <w:rPr>
                <w:spacing w:val="-3"/>
                <w:sz w:val="21"/>
              </w:rPr>
              <w:t>不能与酸性物品和强氧化剂混装共运</w:t>
            </w:r>
          </w:p>
        </w:tc>
      </w:tr>
    </w:tbl>
    <w:p>
      <w:pPr>
        <w:tabs>
          <w:tab w:pos="1478" w:val="left" w:leader="none"/>
        </w:tabs>
        <w:spacing w:line="357" w:lineRule="exact" w:before="0"/>
        <w:ind w:left="0" w:right="1" w:firstLine="0"/>
        <w:jc w:val="center"/>
        <w:rPr>
          <w:b/>
          <w:sz w:val="28"/>
        </w:rPr>
      </w:pPr>
      <w:r>
        <w:rPr>
          <w:b/>
          <w:sz w:val="28"/>
        </w:rPr>
        <w:t>表</w:t>
      </w:r>
      <w:r>
        <w:rPr>
          <w:b/>
          <w:spacing w:val="-71"/>
          <w:sz w:val="28"/>
        </w:rPr>
        <w:t> </w:t>
      </w:r>
      <w:r>
        <w:rPr>
          <w:b/>
          <w:sz w:val="28"/>
        </w:rPr>
        <w:t>3-1-9</w:t>
        <w:tab/>
        <w:t>醋酸钠的理化性质及危险特性表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817"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tabs>
                <w:tab w:pos="8565" w:val="left" w:leader="none"/>
              </w:tabs>
              <w:spacing w:line="270" w:lineRule="atLeast" w:before="3"/>
              <w:ind w:left="107" w:right="93" w:firstLine="419"/>
              <w:jc w:val="left"/>
              <w:rPr>
                <w:rFonts w:ascii="Times New Roman" w:eastAsia="Times New Roman"/>
                <w:sz w:val="21"/>
              </w:rPr>
            </w:pPr>
            <w:r>
              <w:rPr>
                <w:sz w:val="21"/>
              </w:rPr>
              <w:t>化学</w:t>
            </w:r>
            <w:r>
              <w:rPr>
                <w:spacing w:val="-3"/>
                <w:sz w:val="21"/>
              </w:rPr>
              <w:t>品</w:t>
            </w:r>
            <w:r>
              <w:rPr>
                <w:sz w:val="21"/>
              </w:rPr>
              <w:t>中</w:t>
            </w:r>
            <w:r>
              <w:rPr>
                <w:spacing w:val="-3"/>
                <w:sz w:val="21"/>
              </w:rPr>
              <w:t>文</w:t>
            </w:r>
            <w:r>
              <w:rPr>
                <w:sz w:val="21"/>
              </w:rPr>
              <w:t>名</w:t>
            </w:r>
            <w:r>
              <w:rPr>
                <w:spacing w:val="-3"/>
                <w:sz w:val="21"/>
              </w:rPr>
              <w:t>称：</w:t>
            </w:r>
            <w:r>
              <w:rPr>
                <w:sz w:val="21"/>
              </w:rPr>
              <w:t>醋</w:t>
            </w:r>
            <w:r>
              <w:rPr>
                <w:spacing w:val="-3"/>
                <w:sz w:val="21"/>
              </w:rPr>
              <w:t>酸</w:t>
            </w:r>
            <w:r>
              <w:rPr>
                <w:spacing w:val="50"/>
                <w:sz w:val="21"/>
              </w:rPr>
              <w:t>钠</w:t>
            </w:r>
            <w:r>
              <w:rPr>
                <w:sz w:val="21"/>
              </w:rPr>
              <w:t>化学</w:t>
            </w:r>
            <w:r>
              <w:rPr>
                <w:spacing w:val="-3"/>
                <w:sz w:val="21"/>
              </w:rPr>
              <w:t>品</w:t>
            </w:r>
            <w:r>
              <w:rPr>
                <w:sz w:val="21"/>
              </w:rPr>
              <w:t>英</w:t>
            </w:r>
            <w:r>
              <w:rPr>
                <w:spacing w:val="-3"/>
                <w:sz w:val="21"/>
              </w:rPr>
              <w:t>文</w:t>
            </w:r>
            <w:r>
              <w:rPr>
                <w:sz w:val="21"/>
              </w:rPr>
              <w:t>名</w:t>
            </w:r>
            <w:r>
              <w:rPr>
                <w:spacing w:val="-3"/>
                <w:sz w:val="21"/>
              </w:rPr>
              <w:t>称</w:t>
            </w:r>
            <w:r>
              <w:rPr>
                <w:sz w:val="21"/>
              </w:rPr>
              <w:t>：</w:t>
            </w:r>
            <w:r>
              <w:rPr>
                <w:rFonts w:ascii="Times New Roman" w:eastAsia="Times New Roman"/>
                <w:sz w:val="21"/>
              </w:rPr>
              <w:t>Sodium</w:t>
            </w:r>
            <w:r>
              <w:rPr>
                <w:rFonts w:ascii="Times New Roman" w:eastAsia="Times New Roman"/>
                <w:spacing w:val="-1"/>
                <w:sz w:val="21"/>
              </w:rPr>
              <w:t> </w:t>
            </w:r>
            <w:r>
              <w:rPr>
                <w:rFonts w:ascii="Times New Roman" w:eastAsia="Times New Roman"/>
                <w:sz w:val="21"/>
              </w:rPr>
              <w:t>acetate</w:t>
            </w:r>
            <w:r>
              <w:rPr>
                <w:rFonts w:ascii="Times New Roman" w:eastAsia="Times New Roman"/>
                <w:spacing w:val="3"/>
                <w:sz w:val="21"/>
              </w:rPr>
              <w:t> </w:t>
            </w:r>
            <w:r>
              <w:rPr>
                <w:rFonts w:ascii="Times New Roman" w:eastAsia="Times New Roman"/>
                <w:sz w:val="21"/>
              </w:rPr>
              <w:t>trihydrate</w:t>
            </w:r>
            <w:r>
              <w:rPr>
                <w:rFonts w:ascii="Times New Roman" w:eastAsia="Times New Roman"/>
                <w:spacing w:val="4"/>
                <w:sz w:val="21"/>
              </w:rPr>
              <w:t> </w:t>
            </w:r>
            <w:r>
              <w:rPr>
                <w:sz w:val="21"/>
              </w:rPr>
              <w:t>分子</w:t>
            </w:r>
            <w:r>
              <w:rPr>
                <w:spacing w:val="-3"/>
                <w:sz w:val="21"/>
              </w:rPr>
              <w:t>量</w:t>
            </w:r>
            <w:r>
              <w:rPr>
                <w:sz w:val="21"/>
              </w:rPr>
              <w:t>：</w:t>
            </w:r>
            <w:r>
              <w:rPr>
                <w:rFonts w:ascii="Times New Roman" w:eastAsia="Times New Roman"/>
                <w:sz w:val="21"/>
              </w:rPr>
              <w:t>136.08</w:t>
              <w:tab/>
            </w:r>
            <w:r>
              <w:rPr>
                <w:spacing w:val="-3"/>
                <w:sz w:val="21"/>
              </w:rPr>
              <w:t>分</w:t>
            </w:r>
            <w:r>
              <w:rPr>
                <w:spacing w:val="-17"/>
                <w:sz w:val="21"/>
              </w:rPr>
              <w:t>子</w:t>
            </w:r>
            <w:r>
              <w:rPr>
                <w:sz w:val="21"/>
              </w:rPr>
              <w:t>式</w:t>
            </w:r>
            <w:r>
              <w:rPr>
                <w:rFonts w:ascii="Times New Roman" w:eastAsia="Times New Roman"/>
                <w:sz w:val="21"/>
              </w:rPr>
              <w:t>:C2H3NaO2.3H2O</w:t>
            </w:r>
            <w:r>
              <w:rPr>
                <w:rFonts w:ascii="Times New Roman" w:eastAsia="Times New Roman"/>
                <w:spacing w:val="-3"/>
                <w:sz w:val="21"/>
              </w:rPr>
              <w:t> </w:t>
            </w:r>
            <w:r>
              <w:rPr>
                <w:rFonts w:ascii="Times New Roman" w:eastAsia="Times New Roman"/>
                <w:sz w:val="21"/>
              </w:rPr>
              <w:t>CAS</w:t>
            </w:r>
            <w:r>
              <w:rPr>
                <w:rFonts w:ascii="Times New Roman" w:eastAsia="Times New Roman"/>
                <w:spacing w:val="-1"/>
                <w:sz w:val="21"/>
              </w:rPr>
              <w:t> </w:t>
            </w:r>
            <w:r>
              <w:rPr>
                <w:rFonts w:ascii="Times New Roman" w:eastAsia="Times New Roman"/>
                <w:sz w:val="21"/>
              </w:rPr>
              <w:t>No.</w:t>
            </w:r>
            <w:r>
              <w:rPr>
                <w:sz w:val="21"/>
              </w:rPr>
              <w:t>：</w:t>
            </w:r>
            <w:r>
              <w:rPr>
                <w:rFonts w:ascii="Times New Roman" w:eastAsia="Times New Roman"/>
                <w:sz w:val="21"/>
              </w:rPr>
              <w:t>6131-90-4</w:t>
            </w:r>
          </w:p>
        </w:tc>
      </w:tr>
      <w:tr>
        <w:trPr>
          <w:trHeight w:val="815"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before="2"/>
              <w:ind w:left="527"/>
              <w:jc w:val="left"/>
              <w:rPr>
                <w:sz w:val="21"/>
              </w:rPr>
            </w:pPr>
            <w:r>
              <w:rPr>
                <w:sz w:val="21"/>
              </w:rPr>
              <w:t>侵入途径：吸入、皮肤接触、眼睛接触、食入健康危害：无资料</w:t>
            </w:r>
          </w:p>
          <w:p>
            <w:pPr>
              <w:pStyle w:val="TableParagraph"/>
              <w:spacing w:line="250" w:lineRule="exact" w:before="4"/>
              <w:ind w:left="527"/>
              <w:jc w:val="left"/>
              <w:rPr>
                <w:sz w:val="21"/>
              </w:rPr>
            </w:pPr>
            <w:r>
              <w:rPr>
                <w:sz w:val="21"/>
              </w:rPr>
              <w:t>环境危害：为轻微水污染物质燃爆危险：非可燃性物质</w:t>
            </w:r>
          </w:p>
        </w:tc>
      </w:tr>
      <w:tr>
        <w:trPr>
          <w:trHeight w:val="1636"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急救措施</w:t>
            </w:r>
          </w:p>
          <w:p>
            <w:pPr>
              <w:pStyle w:val="TableParagraph"/>
              <w:spacing w:line="242" w:lineRule="auto" w:before="4"/>
              <w:ind w:left="107" w:right="91" w:firstLine="419"/>
              <w:jc w:val="both"/>
              <w:rPr>
                <w:rFonts w:ascii="Times New Roman" w:eastAsia="Times New Roman"/>
                <w:sz w:val="21"/>
              </w:rPr>
            </w:pPr>
            <w:r>
              <w:rPr>
                <w:spacing w:val="-3"/>
                <w:sz w:val="21"/>
              </w:rPr>
              <w:t>皮肤接触：先用大量的水冲洗，并立即脱除遭污染之衣物眼睛接触：撑开上下眼皮并用水冲</w:t>
            </w:r>
            <w:r>
              <w:rPr>
                <w:spacing w:val="-23"/>
                <w:sz w:val="21"/>
              </w:rPr>
              <w:t>洗 </w:t>
            </w:r>
            <w:r>
              <w:rPr>
                <w:rFonts w:ascii="Times New Roman" w:eastAsia="Times New Roman"/>
                <w:sz w:val="21"/>
              </w:rPr>
              <w:t>10 </w:t>
            </w:r>
            <w:r>
              <w:rPr>
                <w:spacing w:val="-10"/>
                <w:sz w:val="21"/>
              </w:rPr>
              <w:t>分钟吸 入：立即移除污染源并将患者移至新鲜空气处。食 入： 若感觉不舒服时，应通知医生并就医。 医生须知：</w:t>
            </w:r>
            <w:r>
              <w:rPr>
                <w:rFonts w:ascii="Times New Roman" w:eastAsia="Times New Roman"/>
                <w:sz w:val="21"/>
              </w:rPr>
              <w:t>-</w:t>
            </w:r>
          </w:p>
          <w:p>
            <w:pPr>
              <w:pStyle w:val="TableParagraph"/>
              <w:spacing w:before="1"/>
              <w:ind w:left="527"/>
              <w:jc w:val="left"/>
              <w:rPr>
                <w:sz w:val="21"/>
              </w:rPr>
            </w:pPr>
            <w:r>
              <w:rPr>
                <w:sz w:val="21"/>
              </w:rPr>
              <w:t>急救人员防护：未着全身式化学防护衣及空气呼吸器的人员，不得进入灾区搬运伤患。 应穿</w:t>
            </w:r>
          </w:p>
          <w:p>
            <w:pPr>
              <w:pStyle w:val="TableParagraph"/>
              <w:spacing w:line="252" w:lineRule="exact" w:before="4"/>
              <w:ind w:left="107"/>
              <w:jc w:val="left"/>
              <w:rPr>
                <w:sz w:val="21"/>
              </w:rPr>
            </w:pPr>
            <w:r>
              <w:rPr>
                <w:sz w:val="21"/>
              </w:rPr>
              <w:t>着适当防护装备在安全区域实施急救。</w:t>
            </w:r>
          </w:p>
        </w:tc>
      </w:tr>
      <w:tr>
        <w:trPr>
          <w:trHeight w:val="217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消防措施</w:t>
            </w:r>
          </w:p>
          <w:p>
            <w:pPr>
              <w:pStyle w:val="TableParagraph"/>
              <w:spacing w:before="2"/>
              <w:ind w:left="527"/>
              <w:jc w:val="left"/>
              <w:rPr>
                <w:sz w:val="21"/>
              </w:rPr>
            </w:pPr>
            <w:r>
              <w:rPr>
                <w:sz w:val="21"/>
              </w:rPr>
              <w:t>危险特性：非可燃性物质有害燃烧产物： 无资料</w:t>
            </w:r>
          </w:p>
          <w:p>
            <w:pPr>
              <w:pStyle w:val="TableParagraph"/>
              <w:spacing w:line="244" w:lineRule="auto" w:before="2"/>
              <w:ind w:left="527" w:right="3086"/>
              <w:jc w:val="left"/>
              <w:rPr>
                <w:sz w:val="21"/>
              </w:rPr>
            </w:pPr>
            <w:r>
              <w:rPr>
                <w:sz w:val="21"/>
              </w:rPr>
              <w:t>灭火方法及灭火剂：储存区应备有随时可用的适当灭火器材灭火时可能遭遇的特殊危害：</w:t>
            </w:r>
          </w:p>
          <w:p>
            <w:pPr>
              <w:pStyle w:val="TableParagraph"/>
              <w:numPr>
                <w:ilvl w:val="0"/>
                <w:numId w:val="10"/>
              </w:numPr>
              <w:tabs>
                <w:tab w:pos="739" w:val="left" w:leader="none"/>
              </w:tabs>
              <w:spacing w:line="265" w:lineRule="exact" w:before="0" w:after="0"/>
              <w:ind w:left="738" w:right="0" w:hanging="212"/>
              <w:jc w:val="left"/>
              <w:rPr>
                <w:sz w:val="21"/>
              </w:rPr>
            </w:pPr>
            <w:r>
              <w:rPr>
                <w:spacing w:val="-3"/>
                <w:sz w:val="21"/>
              </w:rPr>
              <w:t>火灾时可能会产生有害的燃烧性气体或蒸气。</w:t>
            </w:r>
          </w:p>
          <w:p>
            <w:pPr>
              <w:pStyle w:val="TableParagraph"/>
              <w:numPr>
                <w:ilvl w:val="0"/>
                <w:numId w:val="10"/>
              </w:numPr>
              <w:tabs>
                <w:tab w:pos="739" w:val="left" w:leader="none"/>
              </w:tabs>
              <w:spacing w:line="242" w:lineRule="auto" w:before="4" w:after="0"/>
              <w:ind w:left="527" w:right="91" w:firstLine="0"/>
              <w:jc w:val="left"/>
              <w:rPr>
                <w:sz w:val="21"/>
              </w:rPr>
            </w:pPr>
            <w:r>
              <w:rPr>
                <w:spacing w:val="-6"/>
                <w:sz w:val="21"/>
              </w:rPr>
              <w:t>若佩带无适当的化学防护衣或自给式空气呼吸器</w:t>
            </w:r>
            <w:r>
              <w:rPr>
                <w:spacing w:val="-8"/>
                <w:sz w:val="21"/>
              </w:rPr>
              <w:t>（</w:t>
            </w:r>
            <w:r>
              <w:rPr>
                <w:rFonts w:ascii="Times New Roman" w:eastAsia="Times New Roman"/>
                <w:spacing w:val="-8"/>
                <w:sz w:val="21"/>
              </w:rPr>
              <w:t>SCBA</w:t>
            </w:r>
            <w:r>
              <w:rPr>
                <w:spacing w:val="-8"/>
                <w:sz w:val="21"/>
              </w:rPr>
              <w:t>）时，切勿进入危险区内以免危险</w:t>
            </w:r>
            <w:r>
              <w:rPr>
                <w:spacing w:val="-7"/>
                <w:sz w:val="21"/>
              </w:rPr>
              <w:t>灭火注意事项： 消防人员必须穿戴全身式化学防护衣及自给式空气呼吸器</w:t>
            </w:r>
            <w:r>
              <w:rPr>
                <w:spacing w:val="-3"/>
                <w:sz w:val="21"/>
              </w:rPr>
              <w:t>（</w:t>
            </w:r>
            <w:r>
              <w:rPr>
                <w:spacing w:val="-2"/>
                <w:sz w:val="21"/>
              </w:rPr>
              <w:t>必要时外加抗闪</w:t>
            </w:r>
          </w:p>
          <w:p>
            <w:pPr>
              <w:pStyle w:val="TableParagraph"/>
              <w:spacing w:line="252" w:lineRule="exact" w:before="2"/>
              <w:ind w:left="107"/>
              <w:jc w:val="left"/>
              <w:rPr>
                <w:sz w:val="21"/>
              </w:rPr>
            </w:pPr>
            <w:r>
              <w:rPr>
                <w:spacing w:val="-3"/>
                <w:sz w:val="21"/>
              </w:rPr>
              <w:t>火铝质被覆外套</w:t>
            </w:r>
            <w:r>
              <w:rPr>
                <w:spacing w:val="-106"/>
                <w:sz w:val="21"/>
              </w:rPr>
              <w:t>）</w:t>
            </w:r>
            <w:r>
              <w:rPr>
                <w:spacing w:val="-3"/>
                <w:sz w:val="21"/>
              </w:rPr>
              <w:t>。避免消防水用后直接排入下水道及密闭空间内。</w:t>
            </w:r>
          </w:p>
        </w:tc>
      </w:tr>
      <w:tr>
        <w:trPr>
          <w:trHeight w:val="2994"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泄漏应急处理</w:t>
            </w:r>
          </w:p>
          <w:p>
            <w:pPr>
              <w:pStyle w:val="TableParagraph"/>
              <w:spacing w:before="2"/>
              <w:ind w:left="530"/>
              <w:jc w:val="left"/>
              <w:rPr>
                <w:sz w:val="21"/>
              </w:rPr>
            </w:pPr>
            <w:r>
              <w:rPr>
                <w:sz w:val="21"/>
              </w:rPr>
              <w:t>应急处理：</w:t>
            </w:r>
          </w:p>
          <w:p>
            <w:pPr>
              <w:pStyle w:val="TableParagraph"/>
              <w:spacing w:line="242" w:lineRule="auto" w:before="4"/>
              <w:ind w:left="107" w:right="30"/>
              <w:jc w:val="left"/>
              <w:rPr>
                <w:sz w:val="21"/>
              </w:rPr>
            </w:pPr>
            <w:r>
              <w:rPr>
                <w:rFonts w:ascii="Times New Roman" w:eastAsia="Times New Roman"/>
                <w:sz w:val="21"/>
              </w:rPr>
              <w:t>1</w:t>
            </w:r>
            <w:r>
              <w:rPr>
                <w:sz w:val="21"/>
              </w:rPr>
              <w:t>、在污染区尚未完全清理干净前，限制人员进入该污染区。 </w:t>
            </w:r>
            <w:r>
              <w:rPr>
                <w:rFonts w:ascii="Times New Roman" w:eastAsia="Times New Roman"/>
                <w:sz w:val="21"/>
              </w:rPr>
              <w:t>2</w:t>
            </w:r>
            <w:r>
              <w:rPr>
                <w:sz w:val="21"/>
              </w:rPr>
              <w:t>、确定清理工作是由受过训练的人员负责 </w:t>
            </w:r>
            <w:r>
              <w:rPr>
                <w:rFonts w:ascii="Times New Roman" w:eastAsia="Times New Roman"/>
                <w:sz w:val="21"/>
              </w:rPr>
              <w:t>3</w:t>
            </w:r>
            <w:r>
              <w:rPr>
                <w:sz w:val="21"/>
              </w:rPr>
              <w:t>、在污染区清理人员应穿戴适当的个人防护器具</w:t>
            </w:r>
          </w:p>
          <w:p>
            <w:pPr>
              <w:pStyle w:val="TableParagraph"/>
              <w:spacing w:before="2"/>
              <w:ind w:left="107"/>
              <w:jc w:val="left"/>
              <w:rPr>
                <w:sz w:val="21"/>
              </w:rPr>
            </w:pPr>
            <w:r>
              <w:rPr>
                <w:rFonts w:ascii="Times New Roman" w:eastAsia="Times New Roman"/>
                <w:sz w:val="21"/>
              </w:rPr>
              <w:t>4</w:t>
            </w:r>
            <w:r>
              <w:rPr>
                <w:sz w:val="21"/>
              </w:rPr>
              <w:t>、询问供应商，清除改外泄污染源的适当吸收剂或除污液 </w:t>
            </w:r>
            <w:r>
              <w:rPr>
                <w:rFonts w:ascii="Times New Roman" w:eastAsia="Times New Roman"/>
                <w:sz w:val="21"/>
              </w:rPr>
              <w:t>5</w:t>
            </w:r>
            <w:r>
              <w:rPr>
                <w:sz w:val="21"/>
              </w:rPr>
              <w:t>、避免产生粉尘及吸入此物的粉尘</w:t>
            </w:r>
          </w:p>
          <w:p>
            <w:pPr>
              <w:pStyle w:val="TableParagraph"/>
              <w:spacing w:before="2"/>
              <w:ind w:left="107"/>
              <w:jc w:val="left"/>
              <w:rPr>
                <w:sz w:val="21"/>
              </w:rPr>
            </w:pPr>
            <w:r>
              <w:rPr>
                <w:rFonts w:ascii="Times New Roman" w:eastAsia="Times New Roman"/>
                <w:sz w:val="21"/>
              </w:rPr>
              <w:t>6</w:t>
            </w:r>
            <w:r>
              <w:rPr>
                <w:sz w:val="21"/>
              </w:rPr>
              <w:t>、避免此外泄物直接进入下水道系统、水沟或密闭空间内。 消除方法： </w:t>
            </w:r>
            <w:r>
              <w:rPr>
                <w:rFonts w:ascii="Times New Roman" w:eastAsia="Times New Roman"/>
                <w:sz w:val="21"/>
              </w:rPr>
              <w:t>1</w:t>
            </w:r>
            <w:r>
              <w:rPr>
                <w:sz w:val="21"/>
              </w:rPr>
              <w:t>、勿触碰泄漏物</w:t>
            </w:r>
          </w:p>
          <w:p>
            <w:pPr>
              <w:pStyle w:val="TableParagraph"/>
              <w:spacing w:before="2"/>
              <w:ind w:left="686"/>
              <w:jc w:val="left"/>
              <w:rPr>
                <w:sz w:val="21"/>
              </w:rPr>
            </w:pPr>
            <w:r>
              <w:rPr>
                <w:rFonts w:ascii="Times New Roman" w:eastAsia="Times New Roman"/>
                <w:sz w:val="21"/>
              </w:rPr>
              <w:t>2</w:t>
            </w:r>
            <w:r>
              <w:rPr>
                <w:sz w:val="21"/>
              </w:rPr>
              <w:t>、避免外泄物进入下水道、地沟或密闭空间内</w:t>
            </w:r>
          </w:p>
          <w:p>
            <w:pPr>
              <w:pStyle w:val="TableParagraph"/>
              <w:spacing w:line="242" w:lineRule="auto" w:before="4"/>
              <w:ind w:left="107" w:right="91" w:firstLine="578"/>
              <w:jc w:val="left"/>
              <w:rPr>
                <w:sz w:val="21"/>
              </w:rPr>
            </w:pPr>
            <w:r>
              <w:rPr>
                <w:rFonts w:ascii="Times New Roman" w:eastAsia="Times New Roman"/>
                <w:sz w:val="21"/>
              </w:rPr>
              <w:t>3</w:t>
            </w:r>
            <w:r>
              <w:rPr>
                <w:sz w:val="21"/>
              </w:rPr>
              <w:t>、如安全状况许可，将溢漏容器移至户外或隔离的通风场所中，将其中物质换装到其他适当容器内并加以标示。</w:t>
            </w:r>
          </w:p>
          <w:p>
            <w:pPr>
              <w:pStyle w:val="TableParagraph"/>
              <w:spacing w:before="2"/>
              <w:ind w:left="107"/>
              <w:jc w:val="left"/>
              <w:rPr>
                <w:sz w:val="21"/>
              </w:rPr>
            </w:pPr>
            <w:r>
              <w:rPr>
                <w:rFonts w:ascii="Times New Roman" w:eastAsia="Times New Roman"/>
                <w:sz w:val="21"/>
              </w:rPr>
              <w:t>4</w:t>
            </w:r>
            <w:r>
              <w:rPr>
                <w:spacing w:val="-9"/>
                <w:sz w:val="21"/>
              </w:rPr>
              <w:t>、 以液体吸收剂吸取此污染物质</w:t>
            </w:r>
            <w:r>
              <w:rPr>
                <w:spacing w:val="-3"/>
                <w:sz w:val="21"/>
              </w:rPr>
              <w:t>（</w:t>
            </w:r>
            <w:r>
              <w:rPr>
                <w:spacing w:val="50"/>
                <w:sz w:val="21"/>
              </w:rPr>
              <w:t>如</w:t>
            </w:r>
            <w:r>
              <w:rPr>
                <w:rFonts w:ascii="Times New Roman" w:eastAsia="Times New Roman"/>
                <w:sz w:val="21"/>
              </w:rPr>
              <w:t>Chemizorb</w:t>
            </w:r>
            <w:r>
              <w:rPr>
                <w:sz w:val="21"/>
              </w:rPr>
              <w:t>）</w:t>
            </w:r>
            <w:r>
              <w:rPr>
                <w:spacing w:val="-54"/>
                <w:sz w:val="21"/>
              </w:rPr>
              <w:t> </w:t>
            </w:r>
            <w:r>
              <w:rPr>
                <w:rFonts w:ascii="Times New Roman" w:eastAsia="Times New Roman"/>
                <w:sz w:val="21"/>
              </w:rPr>
              <w:t>5</w:t>
            </w:r>
            <w:r>
              <w:rPr>
                <w:spacing w:val="-16"/>
                <w:sz w:val="21"/>
              </w:rPr>
              <w:t>、 清理废弃物 </w:t>
            </w:r>
            <w:r>
              <w:rPr>
                <w:rFonts w:ascii="Times New Roman" w:eastAsia="Times New Roman"/>
                <w:sz w:val="21"/>
              </w:rPr>
              <w:t>6</w:t>
            </w:r>
            <w:r>
              <w:rPr>
                <w:spacing w:val="-9"/>
                <w:sz w:val="21"/>
              </w:rPr>
              <w:t>、 清洗污染区</w:t>
            </w:r>
          </w:p>
          <w:p>
            <w:pPr>
              <w:pStyle w:val="TableParagraph"/>
              <w:spacing w:line="252" w:lineRule="exact" w:before="2"/>
              <w:ind w:left="107"/>
              <w:jc w:val="left"/>
              <w:rPr>
                <w:sz w:val="21"/>
              </w:rPr>
            </w:pPr>
            <w:r>
              <w:rPr>
                <w:sz w:val="21"/>
              </w:rPr>
              <w:t>其他注意事项：已污染的吸收剂应与外泄物具有同等的危害性</w:t>
            </w:r>
          </w:p>
        </w:tc>
      </w:tr>
      <w:tr>
        <w:trPr>
          <w:trHeight w:val="1088"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操作处置与储存</w:t>
            </w:r>
          </w:p>
          <w:p>
            <w:pPr>
              <w:pStyle w:val="TableParagraph"/>
              <w:spacing w:before="4"/>
              <w:ind w:left="527"/>
              <w:jc w:val="left"/>
              <w:rPr>
                <w:sz w:val="21"/>
              </w:rPr>
            </w:pPr>
            <w:r>
              <w:rPr>
                <w:sz w:val="21"/>
              </w:rPr>
              <w:t>操作注意事项：无特别要求 储存注意事项：</w:t>
            </w:r>
          </w:p>
          <w:p>
            <w:pPr>
              <w:pStyle w:val="TableParagraph"/>
              <w:spacing w:before="2"/>
              <w:ind w:left="527"/>
              <w:jc w:val="left"/>
              <w:rPr>
                <w:sz w:val="21"/>
              </w:rPr>
            </w:pPr>
            <w:r>
              <w:rPr>
                <w:rFonts w:ascii="Times New Roman" w:eastAsia="Times New Roman"/>
                <w:sz w:val="21"/>
              </w:rPr>
              <w:t>1. </w:t>
            </w:r>
            <w:r>
              <w:rPr>
                <w:sz w:val="21"/>
              </w:rPr>
              <w:t>容器不用时应加盖紧闭。 </w:t>
            </w:r>
            <w:r>
              <w:rPr>
                <w:rFonts w:ascii="Times New Roman" w:eastAsia="Times New Roman"/>
                <w:sz w:val="21"/>
              </w:rPr>
              <w:t>2. </w:t>
            </w:r>
            <w:r>
              <w:rPr>
                <w:sz w:val="21"/>
              </w:rPr>
              <w:t>储存温度：无限制</w:t>
            </w:r>
          </w:p>
          <w:p>
            <w:pPr>
              <w:pStyle w:val="TableParagraph"/>
              <w:spacing w:line="250" w:lineRule="exact" w:before="5"/>
              <w:ind w:left="527"/>
              <w:jc w:val="left"/>
              <w:rPr>
                <w:sz w:val="21"/>
              </w:rPr>
            </w:pPr>
            <w:r>
              <w:rPr>
                <w:rFonts w:ascii="Times New Roman" w:eastAsia="Times New Roman"/>
                <w:sz w:val="21"/>
              </w:rPr>
              <w:t>3. </w:t>
            </w:r>
            <w:r>
              <w:rPr>
                <w:sz w:val="21"/>
              </w:rPr>
              <w:t>储存于密闭容器内，置于阴凉干燥的地方，并远离一般作业场所及不相容物</w:t>
            </w:r>
          </w:p>
        </w:tc>
      </w:tr>
      <w:tr>
        <w:trPr>
          <w:trHeight w:val="1907" w:hRule="atLeast"/>
        </w:trPr>
        <w:tc>
          <w:tcPr>
            <w:tcW w:w="9091" w:type="dxa"/>
            <w:tcBorders>
              <w:top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4"/>
              <w:ind w:left="482"/>
              <w:jc w:val="left"/>
              <w:rPr>
                <w:sz w:val="21"/>
              </w:rPr>
            </w:pPr>
            <w:r>
              <w:rPr>
                <w:sz w:val="21"/>
              </w:rPr>
              <w:t>呼吸系统防护： 需要，当粉尘产生时眼睛防护： 需佩带</w:t>
            </w:r>
          </w:p>
          <w:p>
            <w:pPr>
              <w:pStyle w:val="TableParagraph"/>
              <w:spacing w:line="244" w:lineRule="auto" w:before="2"/>
              <w:ind w:left="107" w:right="95" w:firstLine="374"/>
              <w:jc w:val="left"/>
              <w:rPr>
                <w:sz w:val="21"/>
              </w:rPr>
            </w:pPr>
            <w:r>
              <w:rPr>
                <w:sz w:val="21"/>
              </w:rPr>
              <w:t>身体防护：应以环境中有害物质浓度与量来选择此作业场所使用之防护衣。应穿着供应商确认可防护此化合物之防护衣。 手防护： 需佩带 其他防护：无资料卫生措施：</w:t>
            </w:r>
          </w:p>
          <w:p>
            <w:pPr>
              <w:pStyle w:val="TableParagraph"/>
              <w:spacing w:line="244" w:lineRule="auto"/>
              <w:ind w:left="107" w:right="90" w:firstLine="374"/>
              <w:jc w:val="left"/>
              <w:rPr>
                <w:sz w:val="21"/>
              </w:rPr>
            </w:pPr>
            <w:r>
              <w:rPr>
                <w:rFonts w:ascii="Times New Roman" w:eastAsia="Times New Roman"/>
                <w:sz w:val="21"/>
              </w:rPr>
              <w:t>1</w:t>
            </w:r>
            <w:r>
              <w:rPr>
                <w:sz w:val="21"/>
              </w:rPr>
              <w:t>、工作后尽快脱掉污染的衣物，洗净后才可再穿戴或丢弃，且须要告知洗衣人员污染物的危害性。</w:t>
            </w:r>
          </w:p>
          <w:p>
            <w:pPr>
              <w:pStyle w:val="TableParagraph"/>
              <w:spacing w:line="248" w:lineRule="exact"/>
              <w:ind w:left="482"/>
              <w:jc w:val="left"/>
              <w:rPr>
                <w:sz w:val="21"/>
              </w:rPr>
            </w:pPr>
            <w:r>
              <w:rPr>
                <w:rFonts w:ascii="Times New Roman" w:eastAsia="Times New Roman"/>
                <w:sz w:val="21"/>
              </w:rPr>
              <w:t>2</w:t>
            </w:r>
            <w:r>
              <w:rPr>
                <w:sz w:val="21"/>
              </w:rPr>
              <w:t>、处理此物后，须彻底洗手</w:t>
            </w:r>
          </w:p>
        </w:tc>
      </w:tr>
    </w:tbl>
    <w:p>
      <w:pPr>
        <w:spacing w:after="0" w:line="248" w:lineRule="exact"/>
        <w:jc w:val="left"/>
        <w:rPr>
          <w:sz w:val="21"/>
        </w:rPr>
        <w:sectPr>
          <w:pgSz w:w="11910" w:h="16840"/>
          <w:pgMar w:header="0" w:footer="952" w:top="1580" w:bottom="1180" w:left="1240" w:right="1240"/>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1710" w:hRule="atLeast"/>
        </w:trPr>
        <w:tc>
          <w:tcPr>
            <w:tcW w:w="9091" w:type="dxa"/>
            <w:tcBorders>
              <w:bottom w:val="single" w:sz="6" w:space="0" w:color="000000"/>
            </w:tcBorders>
          </w:tcPr>
          <w:p>
            <w:pPr>
              <w:pStyle w:val="TableParagraph"/>
              <w:spacing w:before="1"/>
              <w:ind w:left="107"/>
              <w:jc w:val="left"/>
              <w:rPr>
                <w:b/>
                <w:sz w:val="21"/>
              </w:rPr>
            </w:pPr>
            <w:r>
              <w:rPr>
                <w:b/>
                <w:sz w:val="21"/>
              </w:rPr>
              <w:t>理化特性</w:t>
            </w:r>
          </w:p>
          <w:p>
            <w:pPr>
              <w:pStyle w:val="TableParagraph"/>
              <w:spacing w:before="91"/>
              <w:ind w:left="587"/>
              <w:jc w:val="left"/>
              <w:rPr>
                <w:sz w:val="21"/>
              </w:rPr>
            </w:pPr>
            <w:r>
              <w:rPr>
                <w:sz w:val="21"/>
              </w:rPr>
              <w:t>外观与性状： 白色轻微醋酸味固体 </w:t>
            </w:r>
            <w:r>
              <w:rPr>
                <w:rFonts w:ascii="Times New Roman" w:hAnsi="Times New Roman" w:eastAsia="Times New Roman"/>
                <w:sz w:val="21"/>
              </w:rPr>
              <w:t>pH </w:t>
            </w:r>
            <w:r>
              <w:rPr>
                <w:sz w:val="21"/>
              </w:rPr>
              <w:t>值：</w:t>
            </w:r>
            <w:r>
              <w:rPr>
                <w:rFonts w:ascii="Times New Roman" w:hAnsi="Times New Roman" w:eastAsia="Times New Roman"/>
                <w:sz w:val="21"/>
              </w:rPr>
              <w:t>7.5-9.2 </w:t>
            </w:r>
            <w:r>
              <w:rPr>
                <w:sz w:val="21"/>
              </w:rPr>
              <w:t>在 </w:t>
            </w:r>
            <w:r>
              <w:rPr>
                <w:rFonts w:ascii="Times New Roman" w:hAnsi="Times New Roman" w:eastAsia="Times New Roman"/>
                <w:sz w:val="21"/>
              </w:rPr>
              <w:t>50g/l </w:t>
            </w:r>
            <w:r>
              <w:rPr>
                <w:sz w:val="21"/>
              </w:rPr>
              <w:t>的水中（</w:t>
            </w:r>
            <w:r>
              <w:rPr>
                <w:rFonts w:ascii="Times New Roman" w:hAnsi="Times New Roman" w:eastAsia="Times New Roman"/>
                <w:sz w:val="21"/>
              </w:rPr>
              <w:t>20</w:t>
            </w:r>
            <w:r>
              <w:rPr>
                <w:sz w:val="21"/>
              </w:rPr>
              <w:t>℃）</w:t>
            </w:r>
          </w:p>
          <w:p>
            <w:pPr>
              <w:pStyle w:val="TableParagraph"/>
              <w:tabs>
                <w:tab w:pos="3371" w:val="left" w:leader="none"/>
                <w:tab w:pos="5483" w:val="left" w:leader="none"/>
              </w:tabs>
              <w:spacing w:line="321" w:lineRule="auto" w:before="91"/>
              <w:ind w:left="107" w:right="90" w:firstLine="479"/>
              <w:jc w:val="left"/>
              <w:rPr>
                <w:sz w:val="21"/>
              </w:rPr>
            </w:pPr>
            <w:r>
              <w:rPr>
                <w:w w:val="100"/>
                <w:sz w:val="21"/>
              </w:rPr>
              <w:t>熔</w:t>
            </w:r>
            <w:r>
              <w:rPr>
                <w:spacing w:val="-29"/>
                <w:w w:val="100"/>
                <w:sz w:val="21"/>
              </w:rPr>
              <w:t>点</w:t>
            </w:r>
            <w:r>
              <w:rPr>
                <w:w w:val="100"/>
                <w:sz w:val="21"/>
              </w:rPr>
              <w:t>（℃</w:t>
            </w:r>
            <w:r>
              <w:rPr>
                <w:spacing w:val="-108"/>
                <w:w w:val="100"/>
                <w:sz w:val="21"/>
              </w:rPr>
              <w:t>）</w:t>
            </w:r>
            <w:r>
              <w:rPr>
                <w:spacing w:val="-27"/>
                <w:w w:val="100"/>
                <w:sz w:val="21"/>
              </w:rPr>
              <w:t>：</w:t>
            </w:r>
            <w:r>
              <w:rPr>
                <w:rFonts w:ascii="Times New Roman" w:hAnsi="Times New Roman" w:eastAsia="Times New Roman"/>
                <w:spacing w:val="-3"/>
                <w:w w:val="100"/>
                <w:sz w:val="21"/>
              </w:rPr>
              <w:t>5</w:t>
            </w:r>
            <w:r>
              <w:rPr>
                <w:rFonts w:ascii="Times New Roman" w:hAnsi="Times New Roman" w:eastAsia="Times New Roman"/>
                <w:spacing w:val="-1"/>
                <w:w w:val="100"/>
                <w:sz w:val="21"/>
              </w:rPr>
              <w:t>8</w:t>
            </w:r>
            <w:r>
              <w:rPr>
                <w:w w:val="100"/>
                <w:sz w:val="21"/>
              </w:rPr>
              <w:t>℃</w:t>
            </w:r>
            <w:r>
              <w:rPr>
                <w:sz w:val="21"/>
              </w:rPr>
              <w:tab/>
            </w:r>
            <w:r>
              <w:rPr>
                <w:spacing w:val="-3"/>
                <w:w w:val="100"/>
                <w:sz w:val="21"/>
              </w:rPr>
              <w:t>相</w:t>
            </w:r>
            <w:r>
              <w:rPr>
                <w:w w:val="100"/>
                <w:sz w:val="21"/>
              </w:rPr>
              <w:t>对</w:t>
            </w:r>
            <w:r>
              <w:rPr>
                <w:spacing w:val="-3"/>
                <w:w w:val="100"/>
                <w:sz w:val="21"/>
              </w:rPr>
              <w:t>密</w:t>
            </w:r>
            <w:r>
              <w:rPr>
                <w:spacing w:val="-29"/>
                <w:w w:val="100"/>
                <w:sz w:val="21"/>
              </w:rPr>
              <w:t>度</w:t>
            </w:r>
            <w:r>
              <w:rPr>
                <w:w w:val="100"/>
                <w:sz w:val="21"/>
              </w:rPr>
              <w:t>（</w:t>
            </w:r>
            <w:r>
              <w:rPr>
                <w:spacing w:val="-3"/>
                <w:w w:val="100"/>
                <w:sz w:val="21"/>
              </w:rPr>
              <w:t>水</w:t>
            </w:r>
            <w:r>
              <w:rPr>
                <w:rFonts w:ascii="Times New Roman" w:hAnsi="Times New Roman" w:eastAsia="Times New Roman"/>
                <w:w w:val="100"/>
                <w:sz w:val="21"/>
              </w:rPr>
              <w:t>=1</w:t>
            </w:r>
            <w:r>
              <w:rPr>
                <w:spacing w:val="-108"/>
                <w:w w:val="100"/>
                <w:sz w:val="21"/>
              </w:rPr>
              <w:t>）</w:t>
            </w:r>
            <w:r>
              <w:rPr>
                <w:spacing w:val="-27"/>
                <w:w w:val="100"/>
                <w:sz w:val="21"/>
              </w:rPr>
              <w:t>：</w:t>
            </w:r>
            <w:r>
              <w:rPr>
                <w:rFonts w:ascii="Times New Roman" w:hAnsi="Times New Roman" w:eastAsia="Times New Roman"/>
                <w:w w:val="100"/>
                <w:sz w:val="21"/>
              </w:rPr>
              <w:t>1.</w:t>
            </w:r>
            <w:r>
              <w:rPr>
                <w:rFonts w:ascii="Times New Roman" w:hAnsi="Times New Roman" w:eastAsia="Times New Roman"/>
                <w:spacing w:val="-3"/>
                <w:w w:val="100"/>
                <w:sz w:val="21"/>
              </w:rPr>
              <w:t>4</w:t>
            </w:r>
            <w:r>
              <w:rPr>
                <w:rFonts w:ascii="Times New Roman" w:hAnsi="Times New Roman" w:eastAsia="Times New Roman"/>
                <w:w w:val="100"/>
                <w:sz w:val="21"/>
              </w:rPr>
              <w:t>2g/</w:t>
            </w:r>
            <w:r>
              <w:rPr>
                <w:rFonts w:ascii="Times New Roman" w:hAnsi="Times New Roman" w:eastAsia="Times New Roman"/>
                <w:spacing w:val="-2"/>
                <w:w w:val="100"/>
                <w:sz w:val="21"/>
              </w:rPr>
              <w:t>c</w:t>
            </w:r>
            <w:r>
              <w:rPr>
                <w:rFonts w:ascii="Times New Roman" w:hAnsi="Times New Roman" w:eastAsia="Times New Roman"/>
                <w:spacing w:val="-4"/>
                <w:w w:val="100"/>
                <w:sz w:val="21"/>
              </w:rPr>
              <w:t>m</w:t>
            </w:r>
            <w:r>
              <w:rPr>
                <w:rFonts w:ascii="Times New Roman" w:hAnsi="Times New Roman" w:eastAsia="Times New Roman"/>
                <w:spacing w:val="-27"/>
                <w:w w:val="100"/>
                <w:sz w:val="21"/>
              </w:rPr>
              <w:t>3</w:t>
            </w:r>
            <w:r>
              <w:rPr>
                <w:w w:val="100"/>
                <w:sz w:val="21"/>
              </w:rPr>
              <w:t>（</w:t>
            </w:r>
            <w:r>
              <w:rPr>
                <w:rFonts w:ascii="Times New Roman" w:hAnsi="Times New Roman" w:eastAsia="Times New Roman"/>
                <w:w w:val="100"/>
                <w:sz w:val="21"/>
              </w:rPr>
              <w:t>20</w:t>
            </w:r>
            <w:r>
              <w:rPr>
                <w:spacing w:val="-3"/>
                <w:w w:val="100"/>
                <w:sz w:val="21"/>
              </w:rPr>
              <w:t>℃</w:t>
            </w:r>
            <w:r>
              <w:rPr>
                <w:w w:val="100"/>
                <w:sz w:val="21"/>
              </w:rPr>
              <w:t>）</w:t>
            </w:r>
            <w:r>
              <w:rPr>
                <w:spacing w:val="-79"/>
                <w:sz w:val="21"/>
              </w:rPr>
              <w:t> </w:t>
            </w:r>
            <w:r>
              <w:rPr>
                <w:spacing w:val="-3"/>
                <w:w w:val="100"/>
                <w:sz w:val="21"/>
              </w:rPr>
              <w:t>沸</w:t>
            </w:r>
            <w:r>
              <w:rPr>
                <w:spacing w:val="-29"/>
                <w:w w:val="100"/>
                <w:sz w:val="21"/>
              </w:rPr>
              <w:t>点</w:t>
            </w:r>
            <w:r>
              <w:rPr>
                <w:w w:val="100"/>
                <w:sz w:val="21"/>
              </w:rPr>
              <w:t>（℃</w:t>
            </w:r>
            <w:r>
              <w:rPr>
                <w:spacing w:val="-108"/>
                <w:w w:val="100"/>
                <w:sz w:val="21"/>
              </w:rPr>
              <w:t>）</w:t>
            </w:r>
            <w:r>
              <w:rPr>
                <w:spacing w:val="-27"/>
                <w:w w:val="100"/>
                <w:sz w:val="21"/>
              </w:rPr>
              <w:t>：</w:t>
            </w:r>
            <w:r>
              <w:rPr>
                <w:rFonts w:ascii="Times New Roman" w:hAnsi="Times New Roman" w:eastAsia="Times New Roman"/>
                <w:spacing w:val="-2"/>
                <w:w w:val="100"/>
                <w:sz w:val="21"/>
              </w:rPr>
              <w:t>&gt;</w:t>
            </w:r>
            <w:r>
              <w:rPr>
                <w:rFonts w:ascii="Times New Roman" w:hAnsi="Times New Roman" w:eastAsia="Times New Roman"/>
                <w:w w:val="100"/>
                <w:sz w:val="21"/>
              </w:rPr>
              <w:t>40</w:t>
            </w:r>
            <w:r>
              <w:rPr>
                <w:rFonts w:ascii="Times New Roman" w:hAnsi="Times New Roman" w:eastAsia="Times New Roman"/>
                <w:spacing w:val="-3"/>
                <w:w w:val="100"/>
                <w:sz w:val="21"/>
              </w:rPr>
              <w:t>0</w:t>
            </w:r>
            <w:r>
              <w:rPr>
                <w:spacing w:val="-27"/>
                <w:w w:val="100"/>
                <w:sz w:val="21"/>
              </w:rPr>
              <w:t>℃</w:t>
            </w:r>
            <w:r>
              <w:rPr>
                <w:spacing w:val="-3"/>
                <w:w w:val="100"/>
                <w:sz w:val="21"/>
              </w:rPr>
              <w:t>（</w:t>
            </w:r>
            <w:r>
              <w:rPr>
                <w:w w:val="100"/>
                <w:sz w:val="21"/>
              </w:rPr>
              <w:t>无</w:t>
            </w:r>
            <w:r>
              <w:rPr>
                <w:spacing w:val="2"/>
                <w:w w:val="100"/>
                <w:sz w:val="21"/>
              </w:rPr>
              <w:t>水物</w:t>
            </w:r>
            <w:r>
              <w:rPr>
                <w:spacing w:val="-1"/>
                <w:w w:val="100"/>
                <w:sz w:val="21"/>
              </w:rPr>
              <w:t>质</w:t>
            </w:r>
            <w:r>
              <w:rPr>
                <w:spacing w:val="2"/>
                <w:w w:val="100"/>
                <w:sz w:val="21"/>
              </w:rPr>
              <w:t>，分</w:t>
            </w:r>
            <w:r>
              <w:rPr>
                <w:w w:val="100"/>
                <w:sz w:val="21"/>
              </w:rPr>
              <w:t>解</w:t>
            </w:r>
            <w:r>
              <w:rPr>
                <w:spacing w:val="2"/>
                <w:w w:val="100"/>
                <w:sz w:val="21"/>
              </w:rPr>
              <w:t>物</w:t>
            </w:r>
            <w:r>
              <w:rPr>
                <w:w w:val="100"/>
                <w:sz w:val="21"/>
              </w:rPr>
              <w:t>）</w:t>
            </w:r>
            <w:r>
              <w:rPr>
                <w:spacing w:val="2"/>
                <w:w w:val="100"/>
                <w:sz w:val="21"/>
              </w:rPr>
              <w:t>闪点</w:t>
            </w:r>
            <w:r>
              <w:rPr>
                <w:w w:val="100"/>
                <w:sz w:val="21"/>
              </w:rPr>
              <w:t>（</w:t>
            </w:r>
            <w:r>
              <w:rPr>
                <w:spacing w:val="2"/>
                <w:w w:val="100"/>
                <w:sz w:val="21"/>
              </w:rPr>
              <w:t>℃</w:t>
            </w:r>
            <w:r>
              <w:rPr>
                <w:spacing w:val="-104"/>
                <w:w w:val="100"/>
                <w:sz w:val="21"/>
              </w:rPr>
              <w:t>）</w:t>
            </w:r>
            <w:r>
              <w:rPr>
                <w:spacing w:val="-1"/>
                <w:w w:val="100"/>
                <w:sz w:val="21"/>
              </w:rPr>
              <w:t>：</w:t>
            </w:r>
            <w:r>
              <w:rPr>
                <w:rFonts w:ascii="Times New Roman" w:hAnsi="Times New Roman" w:eastAsia="Times New Roman"/>
                <w:w w:val="100"/>
                <w:sz w:val="21"/>
              </w:rPr>
              <w:t>&gt;25</w:t>
            </w:r>
            <w:r>
              <w:rPr>
                <w:rFonts w:ascii="Times New Roman" w:hAnsi="Times New Roman" w:eastAsia="Times New Roman"/>
                <w:spacing w:val="-2"/>
                <w:w w:val="100"/>
                <w:sz w:val="21"/>
              </w:rPr>
              <w:t>0</w:t>
            </w:r>
            <w:r>
              <w:rPr>
                <w:spacing w:val="2"/>
                <w:w w:val="100"/>
                <w:sz w:val="21"/>
              </w:rPr>
              <w:t>℃</w:t>
            </w:r>
            <w:r>
              <w:rPr>
                <w:w w:val="100"/>
                <w:sz w:val="21"/>
              </w:rPr>
              <w:t>（</w:t>
            </w:r>
            <w:r>
              <w:rPr>
                <w:spacing w:val="2"/>
                <w:w w:val="100"/>
                <w:sz w:val="21"/>
              </w:rPr>
              <w:t>无水</w:t>
            </w:r>
            <w:r>
              <w:rPr>
                <w:w w:val="100"/>
                <w:sz w:val="21"/>
              </w:rPr>
              <w:t>物</w:t>
            </w:r>
            <w:r>
              <w:rPr>
                <w:spacing w:val="2"/>
                <w:w w:val="100"/>
                <w:sz w:val="21"/>
              </w:rPr>
              <w:t>质</w:t>
            </w:r>
            <w:r>
              <w:rPr>
                <w:w w:val="100"/>
                <w:sz w:val="21"/>
              </w:rPr>
              <w:t>）</w:t>
            </w:r>
            <w:r>
              <w:rPr>
                <w:sz w:val="21"/>
              </w:rPr>
              <w:tab/>
            </w:r>
            <w:r>
              <w:rPr>
                <w:spacing w:val="2"/>
                <w:w w:val="100"/>
                <w:sz w:val="21"/>
              </w:rPr>
              <w:t>爆炸</w:t>
            </w:r>
            <w:r>
              <w:rPr>
                <w:w w:val="100"/>
                <w:sz w:val="21"/>
              </w:rPr>
              <w:t>上</w:t>
            </w:r>
            <w:r>
              <w:rPr>
                <w:spacing w:val="2"/>
                <w:w w:val="100"/>
                <w:sz w:val="21"/>
              </w:rPr>
              <w:t>限</w:t>
            </w:r>
            <w:r>
              <w:rPr>
                <w:w w:val="100"/>
                <w:sz w:val="21"/>
              </w:rPr>
              <w:t>％</w:t>
            </w:r>
            <w:r>
              <w:rPr>
                <w:spacing w:val="2"/>
                <w:w w:val="100"/>
                <w:sz w:val="21"/>
              </w:rPr>
              <w:t>（</w:t>
            </w:r>
            <w:r>
              <w:rPr>
                <w:rFonts w:ascii="Times New Roman" w:hAnsi="Times New Roman" w:eastAsia="Times New Roman"/>
                <w:spacing w:val="-1"/>
                <w:w w:val="100"/>
                <w:sz w:val="21"/>
              </w:rPr>
              <w:t>V</w:t>
            </w:r>
            <w:r>
              <w:rPr>
                <w:rFonts w:ascii="Times New Roman" w:hAnsi="Times New Roman" w:eastAsia="Times New Roman"/>
                <w:spacing w:val="-3"/>
                <w:w w:val="100"/>
                <w:sz w:val="21"/>
              </w:rPr>
              <w:t>/</w:t>
            </w:r>
            <w:r>
              <w:rPr>
                <w:rFonts w:ascii="Times New Roman" w:hAnsi="Times New Roman" w:eastAsia="Times New Roman"/>
                <w:spacing w:val="3"/>
                <w:w w:val="100"/>
                <w:sz w:val="21"/>
              </w:rPr>
              <w:t>V</w:t>
            </w:r>
            <w:r>
              <w:rPr>
                <w:spacing w:val="-106"/>
                <w:w w:val="100"/>
                <w:sz w:val="21"/>
              </w:rPr>
              <w:t>）</w:t>
            </w:r>
            <w:r>
              <w:rPr>
                <w:spacing w:val="2"/>
                <w:w w:val="100"/>
                <w:sz w:val="21"/>
              </w:rPr>
              <w:t>：无</w:t>
            </w:r>
            <w:r>
              <w:rPr>
                <w:w w:val="100"/>
                <w:sz w:val="21"/>
              </w:rPr>
              <w:t>意义</w:t>
            </w:r>
            <w:r>
              <w:rPr>
                <w:spacing w:val="-48"/>
                <w:sz w:val="21"/>
              </w:rPr>
              <w:t> </w:t>
            </w:r>
            <w:r>
              <w:rPr>
                <w:spacing w:val="2"/>
                <w:w w:val="100"/>
                <w:sz w:val="21"/>
              </w:rPr>
              <w:t>引</w:t>
            </w:r>
            <w:r>
              <w:rPr>
                <w:w w:val="100"/>
                <w:sz w:val="21"/>
              </w:rPr>
              <w:t>燃</w:t>
            </w:r>
            <w:r>
              <w:rPr>
                <w:spacing w:val="2"/>
                <w:w w:val="100"/>
                <w:sz w:val="21"/>
              </w:rPr>
              <w:t>温</w:t>
            </w:r>
            <w:r>
              <w:rPr>
                <w:w w:val="100"/>
                <w:sz w:val="21"/>
              </w:rPr>
              <w:t>度</w:t>
            </w:r>
          </w:p>
          <w:p>
            <w:pPr>
              <w:pStyle w:val="TableParagraph"/>
              <w:tabs>
                <w:tab w:pos="2418" w:val="left" w:leader="none"/>
              </w:tabs>
              <w:spacing w:line="249" w:lineRule="exact"/>
              <w:ind w:left="107"/>
              <w:jc w:val="left"/>
              <w:rPr>
                <w:sz w:val="21"/>
              </w:rPr>
            </w:pPr>
            <w:r>
              <w:rPr>
                <w:w w:val="100"/>
                <w:sz w:val="21"/>
              </w:rPr>
              <w:t>（℃</w:t>
            </w:r>
            <w:r>
              <w:rPr>
                <w:spacing w:val="-108"/>
                <w:w w:val="100"/>
                <w:sz w:val="21"/>
              </w:rPr>
              <w:t>）</w:t>
            </w:r>
            <w:r>
              <w:rPr>
                <w:spacing w:val="-1"/>
                <w:w w:val="100"/>
                <w:sz w:val="21"/>
              </w:rPr>
              <w:t>：</w:t>
            </w:r>
            <w:r>
              <w:rPr>
                <w:rFonts w:ascii="Times New Roman" w:hAnsi="Times New Roman" w:eastAsia="Times New Roman"/>
                <w:w w:val="100"/>
                <w:sz w:val="21"/>
              </w:rPr>
              <w:t>60</w:t>
            </w:r>
            <w:r>
              <w:rPr>
                <w:rFonts w:ascii="Times New Roman" w:hAnsi="Times New Roman" w:eastAsia="Times New Roman"/>
                <w:spacing w:val="-3"/>
                <w:w w:val="100"/>
                <w:sz w:val="21"/>
              </w:rPr>
              <w:t>7</w:t>
            </w:r>
            <w:r>
              <w:rPr>
                <w:w w:val="100"/>
                <w:sz w:val="21"/>
              </w:rPr>
              <w:t>℃</w:t>
            </w:r>
            <w:r>
              <w:rPr>
                <w:sz w:val="21"/>
              </w:rPr>
              <w:tab/>
            </w:r>
            <w:r>
              <w:rPr>
                <w:spacing w:val="-1"/>
                <w:w w:val="100"/>
                <w:sz w:val="21"/>
              </w:rPr>
              <w:t>爆炸下限</w:t>
            </w:r>
            <w:r>
              <w:rPr>
                <w:spacing w:val="-3"/>
                <w:w w:val="100"/>
                <w:sz w:val="21"/>
              </w:rPr>
              <w:t>％（</w:t>
            </w:r>
            <w:r>
              <w:rPr>
                <w:rFonts w:ascii="Times New Roman" w:hAnsi="Times New Roman" w:eastAsia="Times New Roman"/>
                <w:spacing w:val="-1"/>
                <w:w w:val="100"/>
                <w:sz w:val="21"/>
              </w:rPr>
              <w:t>V/</w:t>
            </w:r>
            <w:r>
              <w:rPr>
                <w:rFonts w:ascii="Times New Roman" w:hAnsi="Times New Roman" w:eastAsia="Times New Roman"/>
                <w:spacing w:val="-2"/>
                <w:w w:val="100"/>
                <w:sz w:val="21"/>
              </w:rPr>
              <w:t>V</w:t>
            </w:r>
            <w:r>
              <w:rPr>
                <w:spacing w:val="-106"/>
                <w:w w:val="100"/>
                <w:sz w:val="21"/>
              </w:rPr>
              <w:t>）</w:t>
            </w:r>
            <w:r>
              <w:rPr>
                <w:spacing w:val="-3"/>
                <w:w w:val="100"/>
                <w:sz w:val="21"/>
              </w:rPr>
              <w:t>：无意义</w:t>
            </w:r>
            <w:r>
              <w:rPr>
                <w:spacing w:val="-53"/>
                <w:sz w:val="21"/>
              </w:rPr>
              <w:t> </w:t>
            </w:r>
            <w:r>
              <w:rPr>
                <w:spacing w:val="-3"/>
                <w:w w:val="100"/>
                <w:sz w:val="21"/>
              </w:rPr>
              <w:t>溶解性：水</w:t>
            </w:r>
            <w:r>
              <w:rPr>
                <w:spacing w:val="-53"/>
                <w:sz w:val="21"/>
              </w:rPr>
              <w:t> </w:t>
            </w:r>
            <w:r>
              <w:rPr>
                <w:rFonts w:ascii="Times New Roman" w:hAnsi="Times New Roman" w:eastAsia="Times New Roman"/>
                <w:spacing w:val="-3"/>
                <w:w w:val="100"/>
                <w:sz w:val="21"/>
              </w:rPr>
              <w:t>6</w:t>
            </w:r>
            <w:r>
              <w:rPr>
                <w:rFonts w:ascii="Times New Roman" w:hAnsi="Times New Roman" w:eastAsia="Times New Roman"/>
                <w:w w:val="100"/>
                <w:sz w:val="21"/>
              </w:rPr>
              <w:t>13g/</w:t>
            </w:r>
            <w:r>
              <w:rPr>
                <w:rFonts w:ascii="Times New Roman" w:hAnsi="Times New Roman" w:eastAsia="Times New Roman"/>
                <w:spacing w:val="-3"/>
                <w:w w:val="100"/>
                <w:sz w:val="21"/>
              </w:rPr>
              <w:t>l</w:t>
            </w:r>
            <w:r>
              <w:rPr>
                <w:spacing w:val="-2"/>
                <w:w w:val="100"/>
                <w:sz w:val="21"/>
              </w:rPr>
              <w:t>，乙醇</w:t>
            </w:r>
            <w:r>
              <w:rPr>
                <w:spacing w:val="-53"/>
                <w:sz w:val="21"/>
              </w:rPr>
              <w:t> </w:t>
            </w:r>
            <w:r>
              <w:rPr>
                <w:rFonts w:ascii="Times New Roman" w:hAnsi="Times New Roman" w:eastAsia="Times New Roman"/>
                <w:w w:val="100"/>
                <w:sz w:val="21"/>
              </w:rPr>
              <w:t>52.</w:t>
            </w:r>
            <w:r>
              <w:rPr>
                <w:rFonts w:ascii="Times New Roman" w:hAnsi="Times New Roman" w:eastAsia="Times New Roman"/>
                <w:spacing w:val="-3"/>
                <w:w w:val="100"/>
                <w:sz w:val="21"/>
              </w:rPr>
              <w:t>6</w:t>
            </w:r>
            <w:r>
              <w:rPr>
                <w:rFonts w:ascii="Times New Roman" w:hAnsi="Times New Roman" w:eastAsia="Times New Roman"/>
                <w:w w:val="100"/>
                <w:sz w:val="21"/>
              </w:rPr>
              <w:t>g/</w:t>
            </w:r>
            <w:r>
              <w:rPr>
                <w:rFonts w:ascii="Times New Roman" w:hAnsi="Times New Roman" w:eastAsia="Times New Roman"/>
                <w:spacing w:val="-3"/>
                <w:w w:val="100"/>
                <w:sz w:val="21"/>
              </w:rPr>
              <w:t>l</w:t>
            </w:r>
            <w:r>
              <w:rPr>
                <w:w w:val="100"/>
                <w:sz w:val="21"/>
              </w:rPr>
              <w:t>（</w:t>
            </w:r>
            <w:r>
              <w:rPr>
                <w:rFonts w:ascii="Times New Roman" w:hAnsi="Times New Roman" w:eastAsia="Times New Roman"/>
                <w:w w:val="100"/>
                <w:sz w:val="21"/>
              </w:rPr>
              <w:t>2</w:t>
            </w:r>
            <w:r>
              <w:rPr>
                <w:rFonts w:ascii="Times New Roman" w:hAnsi="Times New Roman" w:eastAsia="Times New Roman"/>
                <w:spacing w:val="-3"/>
                <w:w w:val="100"/>
                <w:sz w:val="21"/>
              </w:rPr>
              <w:t>0</w:t>
            </w:r>
            <w:r>
              <w:rPr>
                <w:w w:val="100"/>
                <w:sz w:val="21"/>
              </w:rPr>
              <w:t>℃）</w:t>
            </w:r>
          </w:p>
        </w:tc>
      </w:tr>
      <w:tr>
        <w:trPr>
          <w:trHeight w:val="1091" w:hRule="atLeast"/>
        </w:trPr>
        <w:tc>
          <w:tcPr>
            <w:tcW w:w="9091" w:type="dxa"/>
            <w:tcBorders>
              <w:top w:val="single" w:sz="6" w:space="0" w:color="000000"/>
            </w:tcBorders>
          </w:tcPr>
          <w:p>
            <w:pPr>
              <w:pStyle w:val="TableParagraph"/>
              <w:spacing w:before="1"/>
              <w:ind w:left="107"/>
              <w:jc w:val="left"/>
              <w:rPr>
                <w:b/>
                <w:sz w:val="21"/>
              </w:rPr>
            </w:pPr>
            <w:r>
              <w:rPr>
                <w:b/>
                <w:sz w:val="21"/>
              </w:rPr>
              <w:t>毒理学资料</w:t>
            </w:r>
          </w:p>
          <w:p>
            <w:pPr>
              <w:pStyle w:val="TableParagraph"/>
              <w:spacing w:before="4"/>
              <w:ind w:left="590"/>
              <w:jc w:val="left"/>
              <w:rPr>
                <w:sz w:val="21"/>
              </w:rPr>
            </w:pPr>
            <w:r>
              <w:rPr>
                <w:sz w:val="21"/>
              </w:rPr>
              <w:t>急性毒性：</w:t>
            </w:r>
          </w:p>
          <w:p>
            <w:pPr>
              <w:pStyle w:val="TableParagraph"/>
              <w:spacing w:before="2"/>
              <w:ind w:left="590" w:right="-15"/>
              <w:jc w:val="left"/>
              <w:rPr>
                <w:sz w:val="21"/>
              </w:rPr>
            </w:pPr>
            <w:r>
              <w:rPr>
                <w:rFonts w:ascii="Times New Roman" w:eastAsia="Times New Roman"/>
                <w:spacing w:val="-5"/>
                <w:w w:val="100"/>
                <w:sz w:val="21"/>
              </w:rPr>
              <w:t>L</w:t>
            </w:r>
            <w:r>
              <w:rPr>
                <w:rFonts w:ascii="Times New Roman" w:eastAsia="Times New Roman"/>
                <w:spacing w:val="-1"/>
                <w:w w:val="100"/>
                <w:sz w:val="21"/>
              </w:rPr>
              <w:t>D5</w:t>
            </w:r>
            <w:r>
              <w:rPr>
                <w:rFonts w:ascii="Times New Roman" w:eastAsia="Times New Roman"/>
                <w:spacing w:val="1"/>
                <w:w w:val="100"/>
                <w:sz w:val="21"/>
              </w:rPr>
              <w:t>0</w:t>
            </w:r>
            <w:r>
              <w:rPr>
                <w:spacing w:val="-94"/>
                <w:w w:val="100"/>
                <w:sz w:val="21"/>
              </w:rPr>
              <w:t>：</w:t>
            </w:r>
            <w:r>
              <w:rPr>
                <w:rFonts w:ascii="Times New Roman" w:eastAsia="Times New Roman"/>
                <w:w w:val="100"/>
                <w:sz w:val="21"/>
              </w:rPr>
              <w:t>3530</w:t>
            </w:r>
            <w:r>
              <w:rPr>
                <w:rFonts w:ascii="Times New Roman" w:eastAsia="Times New Roman"/>
                <w:spacing w:val="-4"/>
                <w:w w:val="100"/>
                <w:sz w:val="21"/>
              </w:rPr>
              <w:t>m</w:t>
            </w:r>
            <w:r>
              <w:rPr>
                <w:rFonts w:ascii="Times New Roman" w:eastAsia="Times New Roman"/>
                <w:w w:val="100"/>
                <w:sz w:val="21"/>
              </w:rPr>
              <w:t>g/k</w:t>
            </w:r>
            <w:r>
              <w:rPr>
                <w:rFonts w:ascii="Times New Roman" w:eastAsia="Times New Roman"/>
                <w:spacing w:val="-95"/>
                <w:w w:val="100"/>
                <w:sz w:val="21"/>
              </w:rPr>
              <w:t>g</w:t>
            </w:r>
            <w:r>
              <w:rPr>
                <w:w w:val="100"/>
                <w:sz w:val="21"/>
              </w:rPr>
              <w:t>（</w:t>
            </w:r>
            <w:r>
              <w:rPr>
                <w:spacing w:val="-21"/>
                <w:w w:val="100"/>
                <w:sz w:val="21"/>
              </w:rPr>
              <w:t>大鼠、吞食</w:t>
            </w:r>
            <w:r>
              <w:rPr>
                <w:spacing w:val="-200"/>
                <w:w w:val="100"/>
                <w:sz w:val="21"/>
              </w:rPr>
              <w:t>）</w:t>
            </w:r>
            <w:r>
              <w:rPr>
                <w:w w:val="100"/>
                <w:sz w:val="21"/>
              </w:rPr>
              <w:t>（</w:t>
            </w:r>
            <w:r>
              <w:rPr>
                <w:spacing w:val="-3"/>
                <w:w w:val="100"/>
                <w:sz w:val="21"/>
              </w:rPr>
              <w:t>无水物质</w:t>
            </w:r>
            <w:r>
              <w:rPr>
                <w:spacing w:val="-41"/>
                <w:w w:val="100"/>
                <w:sz w:val="21"/>
              </w:rPr>
              <w:t>）</w:t>
            </w:r>
            <w:r>
              <w:rPr>
                <w:rFonts w:ascii="Times New Roman" w:eastAsia="Times New Roman"/>
                <w:spacing w:val="-5"/>
                <w:w w:val="100"/>
                <w:sz w:val="21"/>
              </w:rPr>
              <w:t>L</w:t>
            </w:r>
            <w:r>
              <w:rPr>
                <w:rFonts w:ascii="Times New Roman" w:eastAsia="Times New Roman"/>
                <w:w w:val="100"/>
                <w:sz w:val="21"/>
              </w:rPr>
              <w:t>C50</w:t>
            </w:r>
            <w:r>
              <w:rPr>
                <w:spacing w:val="-96"/>
                <w:w w:val="100"/>
                <w:sz w:val="21"/>
              </w:rPr>
              <w:t>：</w:t>
            </w:r>
            <w:r>
              <w:rPr>
                <w:rFonts w:ascii="Times New Roman" w:eastAsia="Times New Roman"/>
                <w:w w:val="100"/>
                <w:sz w:val="21"/>
              </w:rPr>
              <w:t>&gt;3</w:t>
            </w:r>
            <w:r>
              <w:rPr>
                <w:rFonts w:ascii="Times New Roman" w:eastAsia="Times New Roman"/>
                <w:spacing w:val="-2"/>
                <w:w w:val="100"/>
                <w:sz w:val="21"/>
              </w:rPr>
              <w:t>0</w:t>
            </w:r>
            <w:r>
              <w:rPr>
                <w:rFonts w:ascii="Times New Roman" w:eastAsia="Times New Roman"/>
                <w:spacing w:val="-4"/>
                <w:w w:val="100"/>
                <w:sz w:val="21"/>
              </w:rPr>
              <w:t>m</w:t>
            </w:r>
            <w:r>
              <w:rPr>
                <w:rFonts w:ascii="Times New Roman" w:eastAsia="Times New Roman"/>
                <w:w w:val="100"/>
                <w:sz w:val="21"/>
              </w:rPr>
              <w:t>g/l/2</w:t>
            </w:r>
            <w:r>
              <w:rPr>
                <w:rFonts w:ascii="Times New Roman" w:eastAsia="Times New Roman"/>
                <w:spacing w:val="-94"/>
                <w:w w:val="100"/>
                <w:sz w:val="21"/>
              </w:rPr>
              <w:t>H</w:t>
            </w:r>
            <w:r>
              <w:rPr>
                <w:w w:val="100"/>
                <w:sz w:val="21"/>
              </w:rPr>
              <w:t>（</w:t>
            </w:r>
            <w:r>
              <w:rPr>
                <w:spacing w:val="-21"/>
                <w:w w:val="100"/>
                <w:sz w:val="21"/>
              </w:rPr>
              <w:t>大鼠、吸入</w:t>
            </w:r>
            <w:r>
              <w:rPr>
                <w:spacing w:val="-200"/>
                <w:w w:val="100"/>
                <w:sz w:val="21"/>
              </w:rPr>
              <w:t>）</w:t>
            </w:r>
            <w:r>
              <w:rPr>
                <w:spacing w:val="-3"/>
                <w:w w:val="100"/>
                <w:sz w:val="21"/>
              </w:rPr>
              <w:t>（</w:t>
            </w:r>
            <w:r>
              <w:rPr>
                <w:spacing w:val="-2"/>
                <w:w w:val="100"/>
                <w:sz w:val="21"/>
              </w:rPr>
              <w:t>无水物质</w:t>
            </w:r>
            <w:r>
              <w:rPr>
                <w:spacing w:val="-41"/>
                <w:w w:val="100"/>
                <w:sz w:val="21"/>
              </w:rPr>
              <w:t>）</w:t>
            </w:r>
            <w:r>
              <w:rPr>
                <w:rFonts w:ascii="Times New Roman" w:eastAsia="Times New Roman"/>
                <w:spacing w:val="-5"/>
                <w:w w:val="100"/>
                <w:sz w:val="21"/>
              </w:rPr>
              <w:t>L</w:t>
            </w:r>
            <w:r>
              <w:rPr>
                <w:rFonts w:ascii="Times New Roman" w:eastAsia="Times New Roman"/>
                <w:spacing w:val="-1"/>
                <w:w w:val="100"/>
                <w:sz w:val="21"/>
              </w:rPr>
              <w:t>D5</w:t>
            </w:r>
            <w:r>
              <w:rPr>
                <w:rFonts w:ascii="Times New Roman" w:eastAsia="Times New Roman"/>
                <w:spacing w:val="-2"/>
                <w:w w:val="100"/>
                <w:sz w:val="21"/>
              </w:rPr>
              <w:t>0</w:t>
            </w:r>
            <w:r>
              <w:rPr>
                <w:w w:val="100"/>
                <w:sz w:val="21"/>
              </w:rPr>
              <w:t>：</w:t>
            </w:r>
          </w:p>
          <w:p>
            <w:pPr>
              <w:pStyle w:val="TableParagraph"/>
              <w:spacing w:line="252" w:lineRule="exact" w:before="5"/>
              <w:ind w:left="590"/>
              <w:jc w:val="left"/>
              <w:rPr>
                <w:sz w:val="21"/>
              </w:rPr>
            </w:pPr>
            <w:r>
              <w:rPr>
                <w:rFonts w:ascii="Times New Roman" w:eastAsia="Times New Roman"/>
                <w:w w:val="100"/>
                <w:sz w:val="21"/>
              </w:rPr>
              <w:t>&gt;10</w:t>
            </w:r>
            <w:r>
              <w:rPr>
                <w:rFonts w:ascii="Times New Roman" w:eastAsia="Times New Roman"/>
                <w:spacing w:val="-2"/>
                <w:w w:val="100"/>
                <w:sz w:val="21"/>
              </w:rPr>
              <w:t>0</w:t>
            </w:r>
            <w:r>
              <w:rPr>
                <w:rFonts w:ascii="Times New Roman" w:eastAsia="Times New Roman"/>
                <w:w w:val="100"/>
                <w:sz w:val="21"/>
              </w:rPr>
              <w:t>00</w:t>
            </w:r>
            <w:r>
              <w:rPr>
                <w:rFonts w:ascii="Times New Roman" w:eastAsia="Times New Roman"/>
                <w:spacing w:val="-4"/>
                <w:w w:val="100"/>
                <w:sz w:val="21"/>
              </w:rPr>
              <w:t>m</w:t>
            </w:r>
            <w:r>
              <w:rPr>
                <w:rFonts w:ascii="Times New Roman" w:eastAsia="Times New Roman"/>
                <w:w w:val="100"/>
                <w:sz w:val="21"/>
              </w:rPr>
              <w:t>g/k</w:t>
            </w:r>
            <w:r>
              <w:rPr>
                <w:rFonts w:ascii="Times New Roman" w:eastAsia="Times New Roman"/>
                <w:spacing w:val="-2"/>
                <w:w w:val="100"/>
                <w:sz w:val="21"/>
              </w:rPr>
              <w:t>g</w:t>
            </w:r>
            <w:r>
              <w:rPr>
                <w:w w:val="100"/>
                <w:sz w:val="21"/>
              </w:rPr>
              <w:t>（</w:t>
            </w:r>
            <w:r>
              <w:rPr>
                <w:spacing w:val="-3"/>
                <w:w w:val="100"/>
                <w:sz w:val="21"/>
              </w:rPr>
              <w:t>兔子、皮肤</w:t>
            </w:r>
            <w:r>
              <w:rPr>
                <w:spacing w:val="-106"/>
                <w:w w:val="100"/>
                <w:sz w:val="21"/>
              </w:rPr>
              <w:t>）</w:t>
            </w:r>
            <w:r>
              <w:rPr>
                <w:w w:val="100"/>
                <w:sz w:val="21"/>
              </w:rPr>
              <w:t>（</w:t>
            </w:r>
            <w:r>
              <w:rPr>
                <w:spacing w:val="-3"/>
                <w:w w:val="100"/>
                <w:sz w:val="21"/>
              </w:rPr>
              <w:t>无水物质</w:t>
            </w:r>
            <w:r>
              <w:rPr>
                <w:w w:val="100"/>
                <w:sz w:val="21"/>
              </w:rPr>
              <w:t>）</w:t>
            </w:r>
          </w:p>
        </w:tc>
      </w:tr>
    </w:tbl>
    <w:p>
      <w:pPr>
        <w:tabs>
          <w:tab w:pos="1620" w:val="left" w:leader="none"/>
        </w:tabs>
        <w:spacing w:line="357" w:lineRule="exact" w:before="0"/>
        <w:ind w:left="0" w:right="1" w:firstLine="0"/>
        <w:jc w:val="center"/>
        <w:rPr>
          <w:b/>
          <w:sz w:val="28"/>
        </w:rPr>
      </w:pPr>
      <w:r>
        <w:rPr>
          <w:b/>
          <w:sz w:val="28"/>
        </w:rPr>
        <w:t>表</w:t>
      </w:r>
      <w:r>
        <w:rPr>
          <w:b/>
          <w:spacing w:val="-70"/>
          <w:sz w:val="28"/>
        </w:rPr>
        <w:t> </w:t>
      </w:r>
      <w:r>
        <w:rPr>
          <w:b/>
          <w:sz w:val="28"/>
        </w:rPr>
        <w:t>3-1-10</w:t>
        <w:tab/>
        <w:t>天然气的理化性质及危险特性表</w:t>
      </w:r>
    </w:p>
    <w:p>
      <w:pPr>
        <w:pStyle w:val="BodyText"/>
        <w:spacing w:before="8"/>
        <w:rPr>
          <w:b/>
          <w:sz w:val="14"/>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544" w:hRule="atLeast"/>
        </w:trPr>
        <w:tc>
          <w:tcPr>
            <w:tcW w:w="9091" w:type="dxa"/>
            <w:tcBorders>
              <w:bottom w:val="single" w:sz="6" w:space="0" w:color="000000"/>
            </w:tcBorders>
          </w:tcPr>
          <w:p>
            <w:pPr>
              <w:pStyle w:val="TableParagraph"/>
              <w:spacing w:before="1"/>
              <w:ind w:left="107"/>
              <w:jc w:val="left"/>
              <w:rPr>
                <w:b/>
                <w:sz w:val="21"/>
              </w:rPr>
            </w:pPr>
            <w:r>
              <w:rPr>
                <w:b/>
                <w:sz w:val="21"/>
              </w:rPr>
              <w:t>化学品名称</w:t>
            </w:r>
          </w:p>
          <w:p>
            <w:pPr>
              <w:pStyle w:val="TableParagraph"/>
              <w:tabs>
                <w:tab w:pos="2577" w:val="left" w:leader="none"/>
                <w:tab w:pos="6952" w:val="left" w:leader="none"/>
              </w:tabs>
              <w:spacing w:line="252" w:lineRule="exact" w:before="2"/>
              <w:ind w:left="527"/>
              <w:jc w:val="left"/>
              <w:rPr>
                <w:rFonts w:ascii="Times New Roman" w:eastAsia="Times New Roman"/>
                <w:sz w:val="21"/>
              </w:rPr>
            </w:pPr>
            <w:r>
              <w:rPr>
                <w:sz w:val="21"/>
              </w:rPr>
              <w:t>中文</w:t>
            </w:r>
            <w:r>
              <w:rPr>
                <w:spacing w:val="-3"/>
                <w:sz w:val="21"/>
              </w:rPr>
              <w:t>名</w:t>
            </w:r>
            <w:r>
              <w:rPr>
                <w:sz w:val="21"/>
              </w:rPr>
              <w:t>称</w:t>
            </w:r>
            <w:r>
              <w:rPr>
                <w:spacing w:val="-3"/>
                <w:sz w:val="21"/>
              </w:rPr>
              <w:t>：</w:t>
            </w:r>
            <w:r>
              <w:rPr>
                <w:sz w:val="21"/>
              </w:rPr>
              <w:t>天</w:t>
            </w:r>
            <w:r>
              <w:rPr>
                <w:spacing w:val="-3"/>
                <w:sz w:val="21"/>
              </w:rPr>
              <w:t>然</w:t>
            </w:r>
            <w:r>
              <w:rPr>
                <w:sz w:val="21"/>
              </w:rPr>
              <w:t>气</w:t>
              <w:tab/>
            </w:r>
            <w:r>
              <w:rPr>
                <w:spacing w:val="-3"/>
                <w:sz w:val="21"/>
              </w:rPr>
              <w:t>化</w:t>
            </w:r>
            <w:r>
              <w:rPr>
                <w:sz w:val="21"/>
              </w:rPr>
              <w:t>学品</w:t>
            </w:r>
            <w:r>
              <w:rPr>
                <w:spacing w:val="-3"/>
                <w:sz w:val="21"/>
              </w:rPr>
              <w:t>英</w:t>
            </w:r>
            <w:r>
              <w:rPr>
                <w:sz w:val="21"/>
              </w:rPr>
              <w:t>文</w:t>
            </w:r>
            <w:r>
              <w:rPr>
                <w:spacing w:val="-54"/>
                <w:sz w:val="21"/>
              </w:rPr>
              <w:t> </w:t>
            </w:r>
            <w:r>
              <w:rPr>
                <w:rFonts w:ascii="Times New Roman" w:eastAsia="Times New Roman"/>
                <w:sz w:val="21"/>
              </w:rPr>
              <w:t>Natural gas</w:t>
            </w:r>
            <w:r>
              <w:rPr>
                <w:rFonts w:ascii="Times New Roman" w:eastAsia="Times New Roman"/>
                <w:spacing w:val="-2"/>
                <w:sz w:val="21"/>
              </w:rPr>
              <w:t> </w:t>
            </w:r>
            <w:r>
              <w:rPr>
                <w:sz w:val="21"/>
              </w:rPr>
              <w:t>危</w:t>
            </w:r>
            <w:r>
              <w:rPr>
                <w:spacing w:val="-3"/>
                <w:sz w:val="21"/>
              </w:rPr>
              <w:t>险</w:t>
            </w:r>
            <w:r>
              <w:rPr>
                <w:sz w:val="21"/>
              </w:rPr>
              <w:t>货物</w:t>
            </w:r>
            <w:r>
              <w:rPr>
                <w:spacing w:val="-3"/>
                <w:sz w:val="21"/>
              </w:rPr>
              <w:t>编</w:t>
            </w:r>
            <w:r>
              <w:rPr>
                <w:sz w:val="21"/>
              </w:rPr>
              <w:t>号：</w:t>
            </w:r>
            <w:r>
              <w:rPr>
                <w:rFonts w:ascii="Times New Roman" w:eastAsia="Times New Roman"/>
                <w:sz w:val="21"/>
              </w:rPr>
              <w:t>21007</w:t>
              <w:tab/>
              <w:t>UN </w:t>
            </w:r>
            <w:r>
              <w:rPr>
                <w:spacing w:val="-3"/>
                <w:sz w:val="21"/>
              </w:rPr>
              <w:t>编</w:t>
            </w:r>
            <w:r>
              <w:rPr>
                <w:sz w:val="21"/>
              </w:rPr>
              <w:t>号：</w:t>
            </w:r>
            <w:r>
              <w:rPr>
                <w:spacing w:val="-53"/>
                <w:sz w:val="21"/>
              </w:rPr>
              <w:t> </w:t>
            </w:r>
            <w:r>
              <w:rPr>
                <w:rFonts w:ascii="Times New Roman" w:eastAsia="Times New Roman"/>
                <w:sz w:val="21"/>
              </w:rPr>
              <w:t>1971</w:t>
            </w:r>
          </w:p>
        </w:tc>
      </w:tr>
      <w:tr>
        <w:trPr>
          <w:trHeight w:val="1360"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危险性概述</w:t>
            </w:r>
          </w:p>
          <w:p>
            <w:pPr>
              <w:pStyle w:val="TableParagraph"/>
              <w:spacing w:before="2"/>
              <w:ind w:left="527"/>
              <w:jc w:val="left"/>
              <w:rPr>
                <w:sz w:val="21"/>
              </w:rPr>
            </w:pPr>
            <w:r>
              <w:rPr>
                <w:sz w:val="21"/>
              </w:rPr>
              <w:t>侵入途径： 吸入</w:t>
            </w:r>
          </w:p>
          <w:p>
            <w:pPr>
              <w:pStyle w:val="TableParagraph"/>
              <w:spacing w:line="242" w:lineRule="auto" w:before="4"/>
              <w:ind w:left="107" w:right="90" w:firstLine="419"/>
              <w:jc w:val="left"/>
              <w:rPr>
                <w:sz w:val="21"/>
              </w:rPr>
            </w:pPr>
            <w:r>
              <w:rPr>
                <w:spacing w:val="-5"/>
                <w:sz w:val="21"/>
              </w:rPr>
              <w:t>健康危害： 局部接触，压力筛中的液体，可引起冻伤；本品为窒息剂，空气中含量过高，可</w:t>
            </w:r>
            <w:r>
              <w:rPr>
                <w:spacing w:val="-10"/>
                <w:sz w:val="21"/>
              </w:rPr>
              <w:t>导致呼吸短促，失去知觉，甚至缺氧而死亡；。</w:t>
            </w:r>
          </w:p>
          <w:p>
            <w:pPr>
              <w:pStyle w:val="TableParagraph"/>
              <w:spacing w:line="250" w:lineRule="exact" w:before="2"/>
              <w:ind w:left="527"/>
              <w:jc w:val="left"/>
              <w:rPr>
                <w:sz w:val="21"/>
              </w:rPr>
            </w:pPr>
            <w:r>
              <w:rPr>
                <w:sz w:val="21"/>
              </w:rPr>
              <w:t>燃爆危险： 本品易燃，具窒息性</w:t>
            </w:r>
          </w:p>
        </w:tc>
      </w:tr>
      <w:tr>
        <w:trPr>
          <w:trHeight w:val="817"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急救措施</w:t>
            </w:r>
          </w:p>
          <w:p>
            <w:pPr>
              <w:pStyle w:val="TableParagraph"/>
              <w:spacing w:line="270" w:lineRule="atLeast" w:before="3"/>
              <w:ind w:left="107" w:right="49" w:firstLine="419"/>
              <w:jc w:val="left"/>
              <w:rPr>
                <w:sz w:val="21"/>
              </w:rPr>
            </w:pPr>
            <w:r>
              <w:rPr>
                <w:sz w:val="21"/>
              </w:rPr>
              <w:t>吸入： 迅速脱离现场至空气新鲜处。保持呼吸道通畅。如呼吸困难，给输氧。如呼吸停止， 立即进行人工呼吸。就医</w:t>
            </w:r>
          </w:p>
        </w:tc>
      </w:tr>
      <w:tr>
        <w:trPr>
          <w:trHeight w:val="2178" w:hRule="atLeast"/>
        </w:trPr>
        <w:tc>
          <w:tcPr>
            <w:tcW w:w="9091" w:type="dxa"/>
            <w:tcBorders>
              <w:top w:val="single" w:sz="6" w:space="0" w:color="000000"/>
              <w:bottom w:val="single" w:sz="6" w:space="0" w:color="000000"/>
            </w:tcBorders>
          </w:tcPr>
          <w:p>
            <w:pPr>
              <w:pStyle w:val="TableParagraph"/>
              <w:ind w:left="107"/>
              <w:jc w:val="left"/>
              <w:rPr>
                <w:b/>
                <w:sz w:val="21"/>
              </w:rPr>
            </w:pPr>
            <w:r>
              <w:rPr>
                <w:b/>
                <w:sz w:val="21"/>
              </w:rPr>
              <w:t>消防措施</w:t>
            </w:r>
          </w:p>
          <w:p>
            <w:pPr>
              <w:pStyle w:val="TableParagraph"/>
              <w:spacing w:line="242" w:lineRule="auto" w:before="5"/>
              <w:ind w:left="107" w:right="9" w:firstLine="419"/>
              <w:jc w:val="left"/>
              <w:rPr>
                <w:sz w:val="21"/>
              </w:rPr>
            </w:pPr>
            <w:r>
              <w:rPr>
                <w:spacing w:val="-9"/>
                <w:sz w:val="21"/>
              </w:rPr>
              <w:t>危险特性： 易燃气体。若天然气在空气中浓度为 </w:t>
            </w:r>
            <w:r>
              <w:rPr>
                <w:rFonts w:ascii="Times New Roman" w:eastAsia="Times New Roman"/>
                <w:sz w:val="21"/>
              </w:rPr>
              <w:t>5%</w:t>
            </w:r>
            <w:r>
              <w:rPr>
                <w:sz w:val="21"/>
              </w:rPr>
              <w:t>～</w:t>
            </w:r>
            <w:r>
              <w:rPr>
                <w:rFonts w:ascii="Times New Roman" w:eastAsia="Times New Roman"/>
                <w:sz w:val="21"/>
              </w:rPr>
              <w:t>15%</w:t>
            </w:r>
            <w:r>
              <w:rPr>
                <w:spacing w:val="-3"/>
                <w:sz w:val="21"/>
              </w:rPr>
              <w:t>的范围内，遇明火即可发生爆炸， 这个浓度范围即为天然气的爆炸极限。爆炸在瞬间产生高压、高温，其破坏力和危险性都是很大的。与五氧化溴、氯气、次氯酸、三氟化氮、液氧、二氟化氧及其它强氧化剂接触剧烈反应。</w:t>
            </w:r>
          </w:p>
          <w:p>
            <w:pPr>
              <w:pStyle w:val="TableParagraph"/>
              <w:spacing w:before="1"/>
              <w:ind w:left="527"/>
              <w:jc w:val="left"/>
              <w:rPr>
                <w:sz w:val="21"/>
              </w:rPr>
            </w:pPr>
            <w:r>
              <w:rPr>
                <w:sz w:val="21"/>
              </w:rPr>
              <w:t>有害燃烧产物： 一氧化碳、二氧化碳。</w:t>
            </w:r>
          </w:p>
          <w:p>
            <w:pPr>
              <w:pStyle w:val="TableParagraph"/>
              <w:spacing w:before="2"/>
              <w:ind w:left="107" w:firstLine="419"/>
              <w:jc w:val="left"/>
              <w:rPr>
                <w:sz w:val="21"/>
              </w:rPr>
            </w:pPr>
            <w:r>
              <w:rPr>
                <w:sz w:val="21"/>
              </w:rPr>
              <w:t>灭火方法： 关闭供给源，若关闭困难，而燃烧并不危及周围环境，则可任其燃烧，否则应使</w:t>
            </w:r>
          </w:p>
          <w:p>
            <w:pPr>
              <w:pStyle w:val="TableParagraph"/>
              <w:spacing w:line="270" w:lineRule="atLeast" w:before="4"/>
              <w:ind w:left="107" w:right="91"/>
              <w:jc w:val="left"/>
              <w:rPr>
                <w:sz w:val="21"/>
              </w:rPr>
            </w:pPr>
            <w:r>
              <w:rPr>
                <w:sz w:val="21"/>
              </w:rPr>
              <w:t>用粉末、泡沫或二氧化碳灭火器灭火；对于液体天然气，应喷水保持储罐的冷却，但禁止水与液化天然气直接接触。可能的话将容器从火场移至空旷处</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泄漏应急处理</w:t>
            </w:r>
          </w:p>
          <w:p>
            <w:pPr>
              <w:pStyle w:val="TableParagraph"/>
              <w:spacing w:line="242" w:lineRule="auto" w:before="4"/>
              <w:ind w:left="107" w:right="-15" w:firstLine="434"/>
              <w:jc w:val="both"/>
              <w:rPr>
                <w:sz w:val="21"/>
              </w:rPr>
            </w:pPr>
            <w:r>
              <w:rPr>
                <w:spacing w:val="-3"/>
                <w:sz w:val="21"/>
              </w:rPr>
              <w:t>速撤离泄漏污染区人员至上风处，并进行隔离，严格限制出入。切断火源。建议应急处理人员戴自给正压式呼吸器，穿防静电工作服。尽可能切断泄漏源。合理通风，加速扩散。喷雾状水稀释、溶解。构筑围堤或挖坑收容产生的大量废水。如有可能，将漏出气用排风机送至空旷地方</w:t>
            </w:r>
            <w:r>
              <w:rPr>
                <w:spacing w:val="-8"/>
                <w:sz w:val="21"/>
              </w:rPr>
              <w:t>或装设适当喷头烧掉。也可以将漏气的容器移至空旷处，注意通风。漏气容器要妥善处理，修复、</w:t>
            </w:r>
          </w:p>
          <w:p>
            <w:pPr>
              <w:pStyle w:val="TableParagraph"/>
              <w:spacing w:line="250" w:lineRule="exact" w:before="3"/>
              <w:ind w:left="107"/>
              <w:jc w:val="left"/>
              <w:rPr>
                <w:sz w:val="21"/>
              </w:rPr>
            </w:pPr>
            <w:r>
              <w:rPr>
                <w:sz w:val="21"/>
              </w:rPr>
              <w:t>检验后再用</w:t>
            </w:r>
          </w:p>
        </w:tc>
      </w:tr>
      <w:tr>
        <w:trPr>
          <w:trHeight w:val="2452" w:hRule="atLeast"/>
        </w:trPr>
        <w:tc>
          <w:tcPr>
            <w:tcW w:w="9091" w:type="dxa"/>
            <w:tcBorders>
              <w:top w:val="single" w:sz="6" w:space="0" w:color="000000"/>
            </w:tcBorders>
          </w:tcPr>
          <w:p>
            <w:pPr>
              <w:pStyle w:val="TableParagraph"/>
              <w:spacing w:before="1"/>
              <w:ind w:left="107"/>
              <w:jc w:val="left"/>
              <w:rPr>
                <w:b/>
                <w:sz w:val="21"/>
              </w:rPr>
            </w:pPr>
            <w:r>
              <w:rPr>
                <w:b/>
                <w:sz w:val="21"/>
              </w:rPr>
              <w:t>接触控制及个体防护</w:t>
            </w:r>
          </w:p>
          <w:p>
            <w:pPr>
              <w:pStyle w:val="TableParagraph"/>
              <w:spacing w:before="4"/>
              <w:ind w:left="482"/>
              <w:jc w:val="left"/>
              <w:rPr>
                <w:sz w:val="21"/>
              </w:rPr>
            </w:pPr>
            <w:r>
              <w:rPr>
                <w:sz w:val="21"/>
              </w:rPr>
              <w:t>工程控制： 生产过程密闭，全面通风。</w:t>
            </w:r>
          </w:p>
          <w:p>
            <w:pPr>
              <w:pStyle w:val="TableParagraph"/>
              <w:spacing w:line="244" w:lineRule="auto" w:before="2"/>
              <w:ind w:left="107" w:right="95" w:firstLine="374"/>
              <w:jc w:val="left"/>
              <w:rPr>
                <w:sz w:val="21"/>
              </w:rPr>
            </w:pPr>
            <w:r>
              <w:rPr>
                <w:spacing w:val="-3"/>
                <w:sz w:val="21"/>
              </w:rPr>
              <w:t>呼吸系统防护： 一般不需要特殊防护，但建议特殊情况下，佩戴自吸过滤式防毒面具</w:t>
            </w:r>
            <w:r>
              <w:rPr>
                <w:sz w:val="21"/>
              </w:rPr>
              <w:t>（</w:t>
            </w:r>
            <w:r>
              <w:rPr>
                <w:spacing w:val="-8"/>
                <w:sz w:val="21"/>
              </w:rPr>
              <w:t>半面</w:t>
            </w:r>
            <w:r>
              <w:rPr>
                <w:sz w:val="21"/>
              </w:rPr>
              <w:t>罩</w:t>
            </w:r>
            <w:r>
              <w:rPr>
                <w:spacing w:val="-106"/>
                <w:sz w:val="21"/>
              </w:rPr>
              <w:t>）</w:t>
            </w:r>
            <w:r>
              <w:rPr>
                <w:sz w:val="21"/>
              </w:rPr>
              <w:t>。</w:t>
            </w:r>
          </w:p>
          <w:p>
            <w:pPr>
              <w:pStyle w:val="TableParagraph"/>
              <w:spacing w:line="244" w:lineRule="auto"/>
              <w:ind w:left="107" w:right="95" w:firstLine="374"/>
              <w:jc w:val="left"/>
              <w:rPr>
                <w:sz w:val="21"/>
              </w:rPr>
            </w:pPr>
            <w:r>
              <w:rPr>
                <w:spacing w:val="-14"/>
                <w:sz w:val="21"/>
              </w:rPr>
              <w:t>眼睛防护： 一般不需要特殊防护，高浓度接触时可戴安全防护眼镜。 身体防护： 穿防静电工作服。</w:t>
            </w:r>
          </w:p>
          <w:p>
            <w:pPr>
              <w:pStyle w:val="TableParagraph"/>
              <w:spacing w:line="265" w:lineRule="exact"/>
              <w:ind w:left="482"/>
              <w:jc w:val="left"/>
              <w:rPr>
                <w:sz w:val="21"/>
              </w:rPr>
            </w:pPr>
            <w:r>
              <w:rPr>
                <w:sz w:val="21"/>
              </w:rPr>
              <w:t>手防护： 戴一般作业防护手套。</w:t>
            </w:r>
          </w:p>
          <w:p>
            <w:pPr>
              <w:pStyle w:val="TableParagraph"/>
              <w:spacing w:line="270" w:lineRule="atLeast"/>
              <w:ind w:left="107" w:right="95" w:firstLine="374"/>
              <w:jc w:val="left"/>
              <w:rPr>
                <w:sz w:val="21"/>
              </w:rPr>
            </w:pPr>
            <w:r>
              <w:rPr>
                <w:sz w:val="21"/>
              </w:rPr>
              <w:t>其他防护： 工作现场严禁吸烟。避免长期反复接触。进入罐、限制性空间或其它高浓度区作业，须有人监护</w:t>
            </w:r>
          </w:p>
        </w:tc>
      </w:tr>
    </w:tbl>
    <w:p>
      <w:pPr>
        <w:spacing w:after="0" w:line="270" w:lineRule="atLeast"/>
        <w:jc w:val="left"/>
        <w:rPr>
          <w:sz w:val="21"/>
        </w:rPr>
        <w:sectPr>
          <w:pgSz w:w="11910" w:h="16840"/>
          <w:pgMar w:header="0" w:footer="952" w:top="1580" w:bottom="1180" w:left="1240" w:right="1240"/>
        </w:sectPr>
      </w:pPr>
    </w:p>
    <w:p>
      <w:pPr>
        <w:pStyle w:val="BodyText"/>
        <w:spacing w:before="1"/>
        <w:rPr>
          <w:b/>
          <w:sz w:val="8"/>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2178" w:hRule="atLeast"/>
        </w:trPr>
        <w:tc>
          <w:tcPr>
            <w:tcW w:w="9091" w:type="dxa"/>
            <w:tcBorders>
              <w:bottom w:val="single" w:sz="6" w:space="0" w:color="000000"/>
            </w:tcBorders>
          </w:tcPr>
          <w:p>
            <w:pPr>
              <w:pStyle w:val="TableParagraph"/>
              <w:spacing w:before="1"/>
              <w:ind w:left="107"/>
              <w:jc w:val="left"/>
              <w:rPr>
                <w:b/>
                <w:sz w:val="21"/>
              </w:rPr>
            </w:pPr>
            <w:r>
              <w:rPr>
                <w:b/>
                <w:sz w:val="21"/>
              </w:rPr>
              <w:t>操作处置与储存</w:t>
            </w:r>
          </w:p>
          <w:p>
            <w:pPr>
              <w:pStyle w:val="TableParagraph"/>
              <w:spacing w:line="242" w:lineRule="auto" w:before="2"/>
              <w:ind w:left="107" w:right="90" w:firstLine="419"/>
              <w:jc w:val="right"/>
              <w:rPr>
                <w:sz w:val="21"/>
              </w:rPr>
            </w:pPr>
            <w:r>
              <w:rPr>
                <w:sz w:val="21"/>
              </w:rPr>
              <w:t>操作注意事项：密闭操作，全面通风。操作人员必须经过专门培训，严格遵守操作规程。远离火种、热源，工作场所严禁吸烟。使用防爆型的通风系统和设备。防止气体泄漏到工作场所空气中。避免与氧化剂、卤素接触。在传送过程中，钢瓶和容器必须接地和跨接，防止产生静电。搬运时轻装轻卸，防止钢瓶及附件破损。配备相应品种和数量的消防器材及泄漏应急处理设备。储存注意事项：储存于阴凉、通风的库房。远离火种、热源。库温不宜超过 </w:t>
            </w:r>
            <w:r>
              <w:rPr>
                <w:rFonts w:ascii="Times New Roman" w:hAnsi="Times New Roman" w:eastAsia="Times New Roman"/>
                <w:sz w:val="21"/>
              </w:rPr>
              <w:t>30</w:t>
            </w:r>
            <w:r>
              <w:rPr>
                <w:sz w:val="21"/>
              </w:rPr>
              <w:t>℃。应与氧化</w:t>
            </w:r>
          </w:p>
          <w:p>
            <w:pPr>
              <w:pStyle w:val="TableParagraph"/>
              <w:spacing w:line="270" w:lineRule="atLeast" w:before="3"/>
              <w:ind w:left="107" w:right="90"/>
              <w:jc w:val="left"/>
              <w:rPr>
                <w:sz w:val="21"/>
              </w:rPr>
            </w:pPr>
            <w:r>
              <w:rPr>
                <w:sz w:val="21"/>
              </w:rPr>
              <w:t>剂、卤素分开存放，切忌混储。采用防爆型照明、通风设施。禁止使用易产生火花的机械设备和工具。储区应备有泄漏应急处理设备</w:t>
            </w:r>
          </w:p>
        </w:tc>
      </w:tr>
      <w:tr>
        <w:trPr>
          <w:trHeight w:val="1633" w:hRule="atLeast"/>
        </w:trPr>
        <w:tc>
          <w:tcPr>
            <w:tcW w:w="9091" w:type="dxa"/>
            <w:tcBorders>
              <w:top w:val="single" w:sz="6" w:space="0" w:color="000000"/>
              <w:bottom w:val="single" w:sz="6" w:space="0" w:color="000000"/>
            </w:tcBorders>
          </w:tcPr>
          <w:p>
            <w:pPr>
              <w:pStyle w:val="TableParagraph"/>
              <w:spacing w:before="1"/>
              <w:ind w:left="107"/>
              <w:jc w:val="left"/>
              <w:rPr>
                <w:b/>
                <w:sz w:val="21"/>
              </w:rPr>
            </w:pPr>
            <w:r>
              <w:rPr>
                <w:b/>
                <w:sz w:val="21"/>
              </w:rPr>
              <w:t>理化特性</w:t>
            </w:r>
          </w:p>
          <w:p>
            <w:pPr>
              <w:pStyle w:val="TableParagraph"/>
              <w:tabs>
                <w:tab w:pos="4627" w:val="left" w:leader="none"/>
                <w:tab w:pos="6510" w:val="left" w:leader="none"/>
              </w:tabs>
              <w:spacing w:line="244" w:lineRule="auto" w:before="2"/>
              <w:ind w:left="107" w:right="88" w:firstLine="419"/>
              <w:jc w:val="left"/>
              <w:rPr>
                <w:sz w:val="21"/>
              </w:rPr>
            </w:pPr>
            <w:r>
              <w:rPr>
                <w:sz w:val="21"/>
              </w:rPr>
              <w:t>外观</w:t>
            </w:r>
            <w:r>
              <w:rPr>
                <w:spacing w:val="-3"/>
                <w:sz w:val="21"/>
              </w:rPr>
              <w:t>与</w:t>
            </w:r>
            <w:r>
              <w:rPr>
                <w:sz w:val="21"/>
              </w:rPr>
              <w:t>性</w:t>
            </w:r>
            <w:r>
              <w:rPr>
                <w:spacing w:val="-3"/>
                <w:sz w:val="21"/>
              </w:rPr>
              <w:t>状</w:t>
            </w:r>
            <w:r>
              <w:rPr>
                <w:spacing w:val="14"/>
                <w:sz w:val="21"/>
              </w:rPr>
              <w:t>：</w:t>
            </w:r>
            <w:r>
              <w:rPr>
                <w:sz w:val="21"/>
              </w:rPr>
              <w:t>无</w:t>
            </w:r>
            <w:r>
              <w:rPr>
                <w:spacing w:val="-3"/>
                <w:sz w:val="21"/>
              </w:rPr>
              <w:t>色</w:t>
            </w:r>
            <w:r>
              <w:rPr>
                <w:spacing w:val="-39"/>
                <w:sz w:val="21"/>
              </w:rPr>
              <w:t>、</w:t>
            </w:r>
            <w:r>
              <w:rPr>
                <w:sz w:val="21"/>
              </w:rPr>
              <w:t>无</w:t>
            </w:r>
            <w:r>
              <w:rPr>
                <w:spacing w:val="-3"/>
                <w:sz w:val="21"/>
              </w:rPr>
              <w:t>臭</w:t>
            </w:r>
            <w:r>
              <w:rPr>
                <w:sz w:val="21"/>
              </w:rPr>
              <w:t>气</w:t>
            </w:r>
            <w:r>
              <w:rPr>
                <w:spacing w:val="-3"/>
                <w:sz w:val="21"/>
              </w:rPr>
              <w:t>体</w:t>
            </w:r>
            <w:r>
              <w:rPr>
                <w:sz w:val="21"/>
              </w:rPr>
              <w:t>。</w:t>
            </w:r>
            <w:r>
              <w:rPr>
                <w:spacing w:val="83"/>
                <w:sz w:val="21"/>
              </w:rPr>
              <w:t> </w:t>
            </w:r>
            <w:r>
              <w:rPr>
                <w:sz w:val="21"/>
              </w:rPr>
              <w:t>沸</w:t>
            </w:r>
            <w:r>
              <w:rPr>
                <w:spacing w:val="-3"/>
                <w:sz w:val="21"/>
              </w:rPr>
              <w:t>点</w:t>
            </w:r>
            <w:r>
              <w:rPr>
                <w:spacing w:val="2"/>
                <w:sz w:val="21"/>
              </w:rPr>
              <w:t>：</w:t>
            </w:r>
            <w:r>
              <w:rPr>
                <w:rFonts w:ascii="Times New Roman" w:hAnsi="Times New Roman" w:eastAsia="Times New Roman"/>
                <w:spacing w:val="2"/>
                <w:sz w:val="21"/>
              </w:rPr>
              <w:t>-160</w:t>
            </w:r>
            <w:r>
              <w:rPr>
                <w:rFonts w:ascii="Times New Roman" w:hAnsi="Times New Roman" w:eastAsia="Times New Roman"/>
                <w:spacing w:val="6"/>
                <w:sz w:val="21"/>
              </w:rPr>
              <w:t> </w:t>
            </w:r>
            <w:r>
              <w:rPr>
                <w:sz w:val="21"/>
              </w:rPr>
              <w:t>相</w:t>
            </w:r>
            <w:r>
              <w:rPr>
                <w:spacing w:val="-3"/>
                <w:sz w:val="21"/>
              </w:rPr>
              <w:t>对</w:t>
            </w:r>
            <w:r>
              <w:rPr>
                <w:sz w:val="21"/>
              </w:rPr>
              <w:t>密度</w:t>
            </w:r>
            <w:r>
              <w:rPr>
                <w:rFonts w:ascii="Times New Roman" w:hAnsi="Times New Roman" w:eastAsia="Times New Roman"/>
                <w:sz w:val="21"/>
              </w:rPr>
              <w:t>(</w:t>
            </w:r>
            <w:r>
              <w:rPr>
                <w:spacing w:val="-3"/>
                <w:sz w:val="21"/>
              </w:rPr>
              <w:t>水</w:t>
            </w:r>
            <w:r>
              <w:rPr>
                <w:rFonts w:ascii="Times New Roman" w:hAnsi="Times New Roman" w:eastAsia="Times New Roman"/>
                <w:spacing w:val="2"/>
                <w:sz w:val="21"/>
              </w:rPr>
              <w:t>=1)</w:t>
            </w:r>
            <w:r>
              <w:rPr>
                <w:spacing w:val="2"/>
                <w:sz w:val="21"/>
              </w:rPr>
              <w:t>：</w:t>
            </w:r>
            <w:r>
              <w:rPr>
                <w:sz w:val="21"/>
              </w:rPr>
              <w:t>约</w:t>
            </w:r>
            <w:r>
              <w:rPr>
                <w:spacing w:val="-48"/>
                <w:sz w:val="21"/>
              </w:rPr>
              <w:t> </w:t>
            </w:r>
            <w:r>
              <w:rPr>
                <w:rFonts w:ascii="Times New Roman" w:hAnsi="Times New Roman" w:eastAsia="Times New Roman"/>
                <w:spacing w:val="-9"/>
                <w:sz w:val="21"/>
              </w:rPr>
              <w:t>0</w:t>
            </w:r>
            <w:r>
              <w:rPr>
                <w:spacing w:val="-9"/>
                <w:sz w:val="21"/>
              </w:rPr>
              <w:t>．</w:t>
            </w:r>
            <w:r>
              <w:rPr>
                <w:rFonts w:ascii="Times New Roman" w:hAnsi="Times New Roman" w:eastAsia="Times New Roman"/>
                <w:spacing w:val="-9"/>
                <w:sz w:val="21"/>
              </w:rPr>
              <w:t>45(</w:t>
            </w:r>
            <w:r>
              <w:rPr>
                <w:spacing w:val="-3"/>
                <w:sz w:val="21"/>
              </w:rPr>
              <w:t>液</w:t>
            </w:r>
            <w:r>
              <w:rPr>
                <w:sz w:val="21"/>
              </w:rPr>
              <w:t>化</w:t>
            </w:r>
            <w:r>
              <w:rPr>
                <w:rFonts w:ascii="Times New Roman" w:hAnsi="Times New Roman" w:eastAsia="Times New Roman"/>
                <w:sz w:val="21"/>
              </w:rPr>
              <w:t>)</w:t>
            </w:r>
            <w:r>
              <w:rPr>
                <w:rFonts w:ascii="Times New Roman" w:hAnsi="Times New Roman" w:eastAsia="Times New Roman"/>
                <w:spacing w:val="15"/>
                <w:sz w:val="21"/>
              </w:rPr>
              <w:t> </w:t>
            </w:r>
            <w:r>
              <w:rPr>
                <w:spacing w:val="-3"/>
                <w:sz w:val="21"/>
              </w:rPr>
              <w:t>相</w:t>
            </w:r>
            <w:r>
              <w:rPr>
                <w:sz w:val="21"/>
              </w:rPr>
              <w:t>对</w:t>
            </w:r>
            <w:r>
              <w:rPr>
                <w:spacing w:val="-3"/>
                <w:sz w:val="21"/>
              </w:rPr>
              <w:t>密</w:t>
            </w:r>
            <w:r>
              <w:rPr>
                <w:sz w:val="21"/>
              </w:rPr>
              <w:t>度</w:t>
            </w:r>
            <w:r>
              <w:rPr>
                <w:rFonts w:ascii="Times New Roman" w:hAnsi="Times New Roman" w:eastAsia="Times New Roman"/>
                <w:sz w:val="21"/>
              </w:rPr>
              <w:t>(</w:t>
            </w:r>
            <w:r>
              <w:rPr>
                <w:sz w:val="21"/>
              </w:rPr>
              <w:t>空气燃</w:t>
            </w:r>
            <w:r>
              <w:rPr>
                <w:spacing w:val="-3"/>
                <w:sz w:val="21"/>
              </w:rPr>
              <w:t>烧性</w:t>
            </w:r>
            <w:r>
              <w:rPr>
                <w:spacing w:val="-8"/>
                <w:sz w:val="21"/>
              </w:rPr>
              <w:t>：</w:t>
            </w:r>
            <w:r>
              <w:rPr>
                <w:sz w:val="21"/>
              </w:rPr>
              <w:t>易</w:t>
            </w:r>
            <w:r>
              <w:rPr>
                <w:spacing w:val="-3"/>
                <w:sz w:val="21"/>
              </w:rPr>
              <w:t>燃</w:t>
            </w:r>
            <w:r>
              <w:rPr>
                <w:spacing w:val="-58"/>
                <w:sz w:val="21"/>
              </w:rPr>
              <w:t>。</w:t>
            </w:r>
            <w:r>
              <w:rPr>
                <w:spacing w:val="-3"/>
                <w:sz w:val="21"/>
              </w:rPr>
              <w:t>最</w:t>
            </w:r>
            <w:r>
              <w:rPr>
                <w:sz w:val="21"/>
              </w:rPr>
              <w:t>大</w:t>
            </w:r>
            <w:r>
              <w:rPr>
                <w:spacing w:val="-3"/>
                <w:sz w:val="21"/>
              </w:rPr>
              <w:t>爆炸</w:t>
            </w:r>
            <w:r>
              <w:rPr>
                <w:sz w:val="21"/>
              </w:rPr>
              <w:t>压</w:t>
            </w:r>
            <w:r>
              <w:rPr>
                <w:spacing w:val="-3"/>
                <w:sz w:val="21"/>
              </w:rPr>
              <w:t>力</w:t>
            </w:r>
            <w:r>
              <w:rPr>
                <w:spacing w:val="-15"/>
                <w:sz w:val="21"/>
              </w:rPr>
              <w:t>：</w:t>
            </w:r>
            <w:r>
              <w:rPr>
                <w:rFonts w:ascii="Times New Roman" w:hAnsi="Times New Roman" w:eastAsia="Times New Roman"/>
                <w:spacing w:val="-15"/>
                <w:sz w:val="21"/>
              </w:rPr>
              <w:t>(100kPa)</w:t>
            </w:r>
            <w:r>
              <w:rPr>
                <w:spacing w:val="-15"/>
                <w:sz w:val="21"/>
              </w:rPr>
              <w:t>：</w:t>
            </w:r>
            <w:r>
              <w:rPr>
                <w:rFonts w:ascii="Times New Roman" w:hAnsi="Times New Roman" w:eastAsia="Times New Roman"/>
                <w:spacing w:val="-15"/>
                <w:sz w:val="21"/>
              </w:rPr>
              <w:t>6</w:t>
            </w:r>
            <w:r>
              <w:rPr>
                <w:spacing w:val="-15"/>
                <w:sz w:val="21"/>
              </w:rPr>
              <w:t>．</w:t>
            </w:r>
            <w:r>
              <w:rPr>
                <w:rFonts w:ascii="Times New Roman" w:hAnsi="Times New Roman" w:eastAsia="Times New Roman"/>
                <w:spacing w:val="-15"/>
                <w:sz w:val="21"/>
              </w:rPr>
              <w:t>8</w:t>
              <w:tab/>
            </w:r>
            <w:r>
              <w:rPr>
                <w:spacing w:val="-3"/>
                <w:sz w:val="21"/>
              </w:rPr>
              <w:t>建</w:t>
            </w:r>
            <w:r>
              <w:rPr>
                <w:sz w:val="21"/>
              </w:rPr>
              <w:t>规火</w:t>
            </w:r>
            <w:r>
              <w:rPr>
                <w:spacing w:val="-3"/>
                <w:sz w:val="21"/>
              </w:rPr>
              <w:t>险</w:t>
            </w:r>
            <w:r>
              <w:rPr>
                <w:sz w:val="21"/>
              </w:rPr>
              <w:t>分</w:t>
            </w:r>
            <w:r>
              <w:rPr>
                <w:spacing w:val="-3"/>
                <w:sz w:val="21"/>
              </w:rPr>
              <w:t>级</w:t>
            </w:r>
            <w:r>
              <w:rPr>
                <w:spacing w:val="-8"/>
                <w:sz w:val="21"/>
              </w:rPr>
              <w:t>：</w:t>
            </w:r>
            <w:r>
              <w:rPr>
                <w:sz w:val="21"/>
              </w:rPr>
              <w:t>甲</w:t>
              <w:tab/>
            </w:r>
            <w:r>
              <w:rPr>
                <w:spacing w:val="-3"/>
                <w:sz w:val="21"/>
              </w:rPr>
              <w:t>闪</w:t>
            </w:r>
            <w:r>
              <w:rPr>
                <w:sz w:val="21"/>
              </w:rPr>
              <w:t>点</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w:t>
            </w:r>
            <w:r>
              <w:rPr>
                <w:spacing w:val="2"/>
                <w:sz w:val="21"/>
              </w:rPr>
              <w:t> </w:t>
            </w:r>
            <w:r>
              <w:rPr>
                <w:sz w:val="21"/>
              </w:rPr>
              <w:t>自</w:t>
            </w:r>
            <w:r>
              <w:rPr>
                <w:spacing w:val="-3"/>
                <w:sz w:val="21"/>
              </w:rPr>
              <w:t>燃</w:t>
            </w:r>
            <w:r>
              <w:rPr>
                <w:sz w:val="21"/>
              </w:rPr>
              <w:t>温度</w:t>
            </w:r>
            <w:r>
              <w:rPr>
                <w:rFonts w:ascii="Times New Roman" w:hAnsi="Times New Roman" w:eastAsia="Times New Roman"/>
                <w:spacing w:val="-5"/>
                <w:sz w:val="21"/>
              </w:rPr>
              <w:t>(</w:t>
            </w:r>
            <w:r>
              <w:rPr>
                <w:spacing w:val="-5"/>
                <w:sz w:val="21"/>
              </w:rPr>
              <w:t>℃</w:t>
            </w:r>
            <w:r>
              <w:rPr>
                <w:rFonts w:ascii="Times New Roman" w:hAnsi="Times New Roman" w:eastAsia="Times New Roman"/>
                <w:spacing w:val="-5"/>
                <w:sz w:val="21"/>
              </w:rPr>
              <w:t>)</w:t>
            </w:r>
            <w:r>
              <w:rPr>
                <w:spacing w:val="-5"/>
                <w:sz w:val="21"/>
              </w:rPr>
              <w:t>：</w:t>
            </w:r>
          </w:p>
          <w:p>
            <w:pPr>
              <w:pStyle w:val="TableParagraph"/>
              <w:tabs>
                <w:tab w:pos="2978" w:val="left" w:leader="none"/>
                <w:tab w:pos="4864" w:val="left" w:leader="none"/>
              </w:tabs>
              <w:spacing w:line="265" w:lineRule="exact"/>
              <w:ind w:left="527"/>
              <w:jc w:val="left"/>
              <w:rPr>
                <w:rFonts w:ascii="Times New Roman" w:hAnsi="Times New Roman" w:eastAsia="Times New Roman"/>
                <w:sz w:val="21"/>
              </w:rPr>
            </w:pPr>
            <w:r>
              <w:rPr>
                <w:sz w:val="21"/>
              </w:rPr>
              <w:t>引燃</w:t>
            </w:r>
            <w:r>
              <w:rPr>
                <w:spacing w:val="-3"/>
                <w:sz w:val="21"/>
              </w:rPr>
              <w:t>温</w:t>
            </w:r>
            <w:r>
              <w:rPr>
                <w:sz w:val="21"/>
              </w:rPr>
              <w:t>度</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w:t>
            </w:r>
            <w:r>
              <w:rPr>
                <w:rFonts w:ascii="Times New Roman" w:hAnsi="Times New Roman" w:eastAsia="Times New Roman"/>
                <w:sz w:val="21"/>
              </w:rPr>
              <w:t>482</w:t>
            </w:r>
            <w:r>
              <w:rPr>
                <w:sz w:val="21"/>
              </w:rPr>
              <w:t>～</w:t>
            </w:r>
            <w:r>
              <w:rPr>
                <w:rFonts w:ascii="Times New Roman" w:hAnsi="Times New Roman" w:eastAsia="Times New Roman"/>
                <w:sz w:val="21"/>
              </w:rPr>
              <w:t>632</w:t>
              <w:tab/>
            </w:r>
            <w:r>
              <w:rPr>
                <w:sz w:val="21"/>
              </w:rPr>
              <w:t>爆炸</w:t>
            </w:r>
            <w:r>
              <w:rPr>
                <w:spacing w:val="-3"/>
                <w:sz w:val="21"/>
              </w:rPr>
              <w:t>下</w:t>
            </w:r>
            <w:r>
              <w:rPr>
                <w:sz w:val="21"/>
              </w:rPr>
              <w:t>限</w:t>
            </w:r>
            <w:r>
              <w:rPr>
                <w:rFonts w:ascii="Times New Roman" w:hAnsi="Times New Roman" w:eastAsia="Times New Roman"/>
                <w:sz w:val="21"/>
              </w:rPr>
              <w:t>(V%)</w:t>
            </w:r>
            <w:r>
              <w:rPr>
                <w:sz w:val="21"/>
              </w:rPr>
              <w:t>：</w:t>
            </w:r>
            <w:r>
              <w:rPr>
                <w:spacing w:val="-53"/>
                <w:sz w:val="21"/>
              </w:rPr>
              <w:t> </w:t>
            </w:r>
            <w:r>
              <w:rPr>
                <w:rFonts w:ascii="Times New Roman" w:hAnsi="Times New Roman" w:eastAsia="Times New Roman"/>
                <w:sz w:val="21"/>
              </w:rPr>
              <w:t>5</w:t>
              <w:tab/>
            </w:r>
            <w:r>
              <w:rPr>
                <w:spacing w:val="-3"/>
                <w:sz w:val="21"/>
              </w:rPr>
              <w:t>爆炸</w:t>
            </w:r>
            <w:r>
              <w:rPr>
                <w:sz w:val="21"/>
              </w:rPr>
              <w:t>上限</w:t>
            </w:r>
            <w:r>
              <w:rPr>
                <w:rFonts w:ascii="Times New Roman" w:hAnsi="Times New Roman" w:eastAsia="Times New Roman"/>
                <w:sz w:val="21"/>
              </w:rPr>
              <w:t>(V%)</w:t>
            </w:r>
            <w:r>
              <w:rPr>
                <w:sz w:val="21"/>
              </w:rPr>
              <w:t>：</w:t>
            </w:r>
            <w:r>
              <w:rPr>
                <w:spacing w:val="-53"/>
                <w:sz w:val="21"/>
              </w:rPr>
              <w:t> </w:t>
            </w:r>
            <w:r>
              <w:rPr>
                <w:rFonts w:ascii="Times New Roman" w:hAnsi="Times New Roman" w:eastAsia="Times New Roman"/>
                <w:sz w:val="21"/>
              </w:rPr>
              <w:t>14</w:t>
            </w:r>
          </w:p>
          <w:p>
            <w:pPr>
              <w:pStyle w:val="TableParagraph"/>
              <w:spacing w:line="270" w:lineRule="atLeast" w:before="3"/>
              <w:ind w:left="107" w:right="49" w:firstLine="419"/>
              <w:jc w:val="left"/>
              <w:rPr>
                <w:sz w:val="21"/>
              </w:rPr>
            </w:pPr>
            <w:r>
              <w:rPr>
                <w:sz w:val="21"/>
              </w:rPr>
              <w:t>主要用途： 是重要的有机化工原料，可用作制造炭黑、合成氨、甲醇以及其它有机化合物， 亦是优良的燃料</w:t>
            </w:r>
          </w:p>
        </w:tc>
      </w:tr>
      <w:tr>
        <w:trPr>
          <w:trHeight w:val="544" w:hRule="atLeast"/>
        </w:trPr>
        <w:tc>
          <w:tcPr>
            <w:tcW w:w="9091" w:type="dxa"/>
            <w:tcBorders>
              <w:top w:val="single" w:sz="6" w:space="0" w:color="000000"/>
            </w:tcBorders>
          </w:tcPr>
          <w:p>
            <w:pPr>
              <w:pStyle w:val="TableParagraph"/>
              <w:spacing w:before="1"/>
              <w:ind w:left="89" w:right="7896"/>
              <w:rPr>
                <w:b/>
                <w:sz w:val="21"/>
              </w:rPr>
            </w:pPr>
            <w:r>
              <w:rPr>
                <w:b/>
                <w:sz w:val="21"/>
              </w:rPr>
              <w:t>毒理学资料</w:t>
            </w:r>
          </w:p>
          <w:p>
            <w:pPr>
              <w:pStyle w:val="TableParagraph"/>
              <w:spacing w:line="252" w:lineRule="exact" w:before="2"/>
              <w:ind w:right="7812"/>
              <w:rPr>
                <w:sz w:val="21"/>
              </w:rPr>
            </w:pPr>
            <w:r>
              <w:rPr>
                <w:w w:val="100"/>
                <w:sz w:val="21"/>
              </w:rPr>
              <w:t>无</w:t>
            </w:r>
          </w:p>
        </w:tc>
      </w:tr>
    </w:tbl>
    <w:p>
      <w:pPr>
        <w:tabs>
          <w:tab w:pos="1478" w:val="left" w:leader="none"/>
        </w:tabs>
        <w:spacing w:line="357" w:lineRule="exact" w:before="0"/>
        <w:ind w:left="0" w:right="1" w:firstLine="0"/>
        <w:jc w:val="center"/>
        <w:rPr>
          <w:b/>
          <w:sz w:val="28"/>
        </w:rPr>
      </w:pPr>
      <w:r>
        <w:rPr>
          <w:b/>
          <w:sz w:val="28"/>
        </w:rPr>
        <w:t>表</w:t>
      </w:r>
      <w:r>
        <w:rPr>
          <w:b/>
          <w:spacing w:val="-70"/>
          <w:sz w:val="28"/>
        </w:rPr>
        <w:t> </w:t>
      </w:r>
      <w:r>
        <w:rPr>
          <w:b/>
          <w:sz w:val="28"/>
        </w:rPr>
        <w:t>3-1-11</w:t>
        <w:tab/>
        <w:t>甲醇理化性质、危险毒性特性识别表</w:t>
      </w:r>
    </w:p>
    <w:p>
      <w:pPr>
        <w:pStyle w:val="BodyText"/>
        <w:spacing w:before="8"/>
        <w:rPr>
          <w:b/>
          <w:sz w:val="1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4090"/>
        <w:gridCol w:w="1872"/>
        <w:gridCol w:w="2482"/>
      </w:tblGrid>
      <w:tr>
        <w:trPr>
          <w:trHeight w:val="234" w:hRule="atLeast"/>
        </w:trPr>
        <w:tc>
          <w:tcPr>
            <w:tcW w:w="742" w:type="dxa"/>
            <w:vMerge w:val="restart"/>
          </w:tcPr>
          <w:p>
            <w:pPr>
              <w:pStyle w:val="TableParagraph"/>
              <w:jc w:val="left"/>
              <w:rPr>
                <w:b/>
                <w:sz w:val="18"/>
              </w:rPr>
            </w:pPr>
          </w:p>
          <w:p>
            <w:pPr>
              <w:pStyle w:val="TableParagraph"/>
              <w:spacing w:before="129"/>
              <w:ind w:left="189"/>
              <w:jc w:val="left"/>
              <w:rPr>
                <w:sz w:val="18"/>
              </w:rPr>
            </w:pPr>
            <w:r>
              <w:rPr>
                <w:sz w:val="18"/>
              </w:rPr>
              <w:t>标识</w:t>
            </w:r>
          </w:p>
        </w:tc>
        <w:tc>
          <w:tcPr>
            <w:tcW w:w="4090" w:type="dxa"/>
          </w:tcPr>
          <w:p>
            <w:pPr>
              <w:pStyle w:val="TableParagraph"/>
              <w:spacing w:line="215" w:lineRule="exact"/>
              <w:ind w:left="8"/>
              <w:rPr>
                <w:sz w:val="18"/>
              </w:rPr>
            </w:pPr>
            <w:r>
              <w:rPr>
                <w:sz w:val="18"/>
              </w:rPr>
              <w:t>中文名：甲醇</w:t>
            </w:r>
          </w:p>
        </w:tc>
        <w:tc>
          <w:tcPr>
            <w:tcW w:w="4354" w:type="dxa"/>
            <w:gridSpan w:val="2"/>
          </w:tcPr>
          <w:p>
            <w:pPr>
              <w:pStyle w:val="TableParagraph"/>
              <w:spacing w:line="215" w:lineRule="exact"/>
              <w:ind w:left="841"/>
              <w:jc w:val="left"/>
              <w:rPr>
                <w:rFonts w:ascii="Times New Roman" w:eastAsia="Times New Roman"/>
                <w:sz w:val="18"/>
              </w:rPr>
            </w:pPr>
            <w:r>
              <w:rPr>
                <w:sz w:val="18"/>
              </w:rPr>
              <w:t>英文名：</w:t>
            </w:r>
            <w:r>
              <w:rPr>
                <w:rFonts w:ascii="Times New Roman" w:eastAsia="Times New Roman"/>
                <w:sz w:val="18"/>
              </w:rPr>
              <w:t>methyl alcohol</w:t>
            </w:r>
            <w:r>
              <w:rPr>
                <w:sz w:val="18"/>
              </w:rPr>
              <w:t>；</w:t>
            </w:r>
            <w:r>
              <w:rPr>
                <w:rFonts w:ascii="Times New Roman" w:eastAsia="Times New Roman"/>
                <w:sz w:val="18"/>
              </w:rPr>
              <w:t>Methanol</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9"/>
              <w:rPr>
                <w:rFonts w:ascii="Times New Roman" w:eastAsia="Times New Roman"/>
                <w:sz w:val="18"/>
              </w:rPr>
            </w:pPr>
            <w:r>
              <w:rPr>
                <w:sz w:val="18"/>
              </w:rPr>
              <w:t>分子式：</w:t>
            </w:r>
            <w:r>
              <w:rPr>
                <w:rFonts w:ascii="Times New Roman" w:eastAsia="Times New Roman"/>
                <w:sz w:val="18"/>
              </w:rPr>
              <w:t>CH</w:t>
            </w:r>
            <w:r>
              <w:rPr>
                <w:rFonts w:ascii="Times New Roman" w:eastAsia="Times New Roman"/>
                <w:sz w:val="18"/>
                <w:vertAlign w:val="subscript"/>
              </w:rPr>
              <w:t>4</w:t>
            </w:r>
            <w:r>
              <w:rPr>
                <w:rFonts w:ascii="Times New Roman" w:eastAsia="Times New Roman"/>
                <w:sz w:val="18"/>
                <w:vertAlign w:val="baseline"/>
              </w:rPr>
              <w:t>O</w:t>
            </w:r>
            <w:r>
              <w:rPr>
                <w:sz w:val="18"/>
                <w:vertAlign w:val="baseline"/>
              </w:rPr>
              <w:t>；</w:t>
            </w:r>
            <w:r>
              <w:rPr>
                <w:rFonts w:ascii="Times New Roman" w:eastAsia="Times New Roman"/>
                <w:sz w:val="18"/>
                <w:vertAlign w:val="baseline"/>
              </w:rPr>
              <w:t>CH</w:t>
            </w:r>
            <w:r>
              <w:rPr>
                <w:rFonts w:ascii="Times New Roman" w:eastAsia="Times New Roman"/>
                <w:sz w:val="18"/>
                <w:vertAlign w:val="subscript"/>
              </w:rPr>
              <w:t>3</w:t>
            </w:r>
            <w:r>
              <w:rPr>
                <w:rFonts w:ascii="Times New Roman" w:eastAsia="Times New Roman"/>
                <w:sz w:val="18"/>
                <w:vertAlign w:val="baseline"/>
              </w:rPr>
              <w:t>OH</w:t>
            </w:r>
          </w:p>
        </w:tc>
        <w:tc>
          <w:tcPr>
            <w:tcW w:w="1872" w:type="dxa"/>
          </w:tcPr>
          <w:p>
            <w:pPr>
              <w:pStyle w:val="TableParagraph"/>
              <w:spacing w:line="212" w:lineRule="exact"/>
              <w:ind w:left="352" w:right="345"/>
              <w:rPr>
                <w:rFonts w:ascii="Times New Roman" w:eastAsia="Times New Roman"/>
                <w:sz w:val="18"/>
              </w:rPr>
            </w:pPr>
            <w:r>
              <w:rPr>
                <w:sz w:val="18"/>
              </w:rPr>
              <w:t>分子量：</w:t>
            </w:r>
            <w:r>
              <w:rPr>
                <w:rFonts w:ascii="Times New Roman" w:eastAsia="Times New Roman"/>
                <w:sz w:val="18"/>
              </w:rPr>
              <w:t>32.04</w:t>
            </w:r>
          </w:p>
        </w:tc>
        <w:tc>
          <w:tcPr>
            <w:tcW w:w="2482" w:type="dxa"/>
          </w:tcPr>
          <w:p>
            <w:pPr>
              <w:pStyle w:val="TableParagraph"/>
              <w:spacing w:line="212" w:lineRule="exact"/>
              <w:ind w:left="589"/>
              <w:jc w:val="left"/>
              <w:rPr>
                <w:rFonts w:ascii="Times New Roman" w:eastAsia="Times New Roman"/>
                <w:sz w:val="18"/>
              </w:rPr>
            </w:pPr>
            <w:r>
              <w:rPr>
                <w:rFonts w:ascii="Times New Roman" w:eastAsia="Times New Roman"/>
                <w:sz w:val="18"/>
              </w:rPr>
              <w:t>UN </w:t>
            </w:r>
            <w:r>
              <w:rPr>
                <w:sz w:val="18"/>
              </w:rPr>
              <w:t>编号：</w:t>
            </w:r>
            <w:r>
              <w:rPr>
                <w:rFonts w:ascii="Times New Roman" w:eastAsia="Times New Roman"/>
                <w:sz w:val="18"/>
              </w:rPr>
              <w:t>32058</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9"/>
              <w:rPr>
                <w:rFonts w:ascii="Times New Roman" w:eastAsia="Times New Roman"/>
                <w:sz w:val="18"/>
              </w:rPr>
            </w:pPr>
            <w:r>
              <w:rPr>
                <w:sz w:val="18"/>
              </w:rPr>
              <w:t>危规号：</w:t>
            </w:r>
            <w:r>
              <w:rPr>
                <w:rFonts w:ascii="Times New Roman" w:eastAsia="Times New Roman"/>
                <w:sz w:val="18"/>
              </w:rPr>
              <w:t>23003</w:t>
            </w:r>
          </w:p>
        </w:tc>
        <w:tc>
          <w:tcPr>
            <w:tcW w:w="1872" w:type="dxa"/>
          </w:tcPr>
          <w:p>
            <w:pPr>
              <w:pStyle w:val="TableParagraph"/>
              <w:spacing w:line="212" w:lineRule="exact"/>
              <w:ind w:left="348" w:right="345"/>
              <w:rPr>
                <w:sz w:val="18"/>
              </w:rPr>
            </w:pPr>
            <w:r>
              <w:rPr>
                <w:rFonts w:ascii="Times New Roman" w:eastAsia="Times New Roman"/>
                <w:sz w:val="18"/>
              </w:rPr>
              <w:t>RTECS </w:t>
            </w:r>
            <w:r>
              <w:rPr>
                <w:sz w:val="18"/>
              </w:rPr>
              <w:t>号：</w:t>
            </w:r>
          </w:p>
        </w:tc>
        <w:tc>
          <w:tcPr>
            <w:tcW w:w="2482" w:type="dxa"/>
          </w:tcPr>
          <w:p>
            <w:pPr>
              <w:pStyle w:val="TableParagraph"/>
              <w:spacing w:line="212" w:lineRule="exact"/>
              <w:ind w:left="575"/>
              <w:jc w:val="left"/>
              <w:rPr>
                <w:rFonts w:ascii="Times New Roman" w:eastAsia="Times New Roman"/>
                <w:sz w:val="18"/>
              </w:rPr>
            </w:pPr>
            <w:r>
              <w:rPr>
                <w:rFonts w:ascii="Times New Roman" w:eastAsia="Times New Roman"/>
                <w:sz w:val="18"/>
              </w:rPr>
              <w:t>CAS </w:t>
            </w:r>
            <w:r>
              <w:rPr>
                <w:sz w:val="18"/>
              </w:rPr>
              <w:t>号：</w:t>
            </w:r>
            <w:r>
              <w:rPr>
                <w:rFonts w:ascii="Times New Roman" w:eastAsia="Times New Roman"/>
                <w:sz w:val="18"/>
              </w:rPr>
              <w:t>67-56-1</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10"/>
              <w:rPr>
                <w:rFonts w:ascii="Times New Roman" w:eastAsia="Times New Roman"/>
                <w:sz w:val="18"/>
              </w:rPr>
            </w:pPr>
            <w:r>
              <w:rPr>
                <w:sz w:val="18"/>
              </w:rPr>
              <w:t>危险性类别：</w:t>
            </w:r>
            <w:r>
              <w:rPr>
                <w:rFonts w:ascii="Times New Roman" w:eastAsia="Times New Roman"/>
                <w:sz w:val="18"/>
              </w:rPr>
              <w:t>7(</w:t>
            </w:r>
            <w:r>
              <w:rPr>
                <w:sz w:val="18"/>
              </w:rPr>
              <w:t>易燃液体</w:t>
            </w:r>
            <w:r>
              <w:rPr>
                <w:rFonts w:ascii="Times New Roman" w:eastAsia="Times New Roman"/>
                <w:sz w:val="18"/>
              </w:rPr>
              <w:t>)</w:t>
            </w:r>
          </w:p>
        </w:tc>
        <w:tc>
          <w:tcPr>
            <w:tcW w:w="4354" w:type="dxa"/>
            <w:gridSpan w:val="2"/>
          </w:tcPr>
          <w:p>
            <w:pPr>
              <w:pStyle w:val="TableParagraph"/>
              <w:spacing w:line="215" w:lineRule="exact"/>
              <w:ind w:left="1518" w:right="1513"/>
              <w:rPr>
                <w:sz w:val="18"/>
              </w:rPr>
            </w:pPr>
            <w:r>
              <w:rPr>
                <w:sz w:val="18"/>
              </w:rPr>
              <w:t>化学类别：</w:t>
            </w:r>
          </w:p>
        </w:tc>
      </w:tr>
      <w:tr>
        <w:trPr>
          <w:trHeight w:val="232" w:hRule="atLeast"/>
        </w:trPr>
        <w:tc>
          <w:tcPr>
            <w:tcW w:w="742" w:type="dxa"/>
            <w:vMerge w:val="restart"/>
          </w:tcPr>
          <w:p>
            <w:pPr>
              <w:pStyle w:val="TableParagraph"/>
              <w:jc w:val="left"/>
              <w:rPr>
                <w:b/>
                <w:sz w:val="18"/>
              </w:rPr>
            </w:pPr>
          </w:p>
          <w:p>
            <w:pPr>
              <w:pStyle w:val="TableParagraph"/>
              <w:spacing w:before="10"/>
              <w:jc w:val="left"/>
              <w:rPr>
                <w:b/>
                <w:sz w:val="19"/>
              </w:rPr>
            </w:pPr>
          </w:p>
          <w:p>
            <w:pPr>
              <w:pStyle w:val="TableParagraph"/>
              <w:spacing w:line="242" w:lineRule="auto"/>
              <w:ind w:left="189" w:right="180"/>
              <w:jc w:val="left"/>
              <w:rPr>
                <w:sz w:val="18"/>
              </w:rPr>
            </w:pPr>
            <w:r>
              <w:rPr>
                <w:sz w:val="18"/>
              </w:rPr>
              <w:t>理化性质</w:t>
            </w:r>
          </w:p>
        </w:tc>
        <w:tc>
          <w:tcPr>
            <w:tcW w:w="8444" w:type="dxa"/>
            <w:gridSpan w:val="3"/>
          </w:tcPr>
          <w:p>
            <w:pPr>
              <w:pStyle w:val="TableParagraph"/>
              <w:spacing w:line="212" w:lineRule="exact"/>
              <w:ind w:left="1049" w:right="1044"/>
              <w:rPr>
                <w:sz w:val="18"/>
              </w:rPr>
            </w:pPr>
            <w:r>
              <w:rPr>
                <w:sz w:val="18"/>
              </w:rPr>
              <w:t>性状：无色澄清液体，有刺激性气味。</w:t>
            </w:r>
          </w:p>
        </w:tc>
      </w:tr>
      <w:tr>
        <w:trPr>
          <w:trHeight w:val="234" w:hRule="atLeast"/>
        </w:trPr>
        <w:tc>
          <w:tcPr>
            <w:tcW w:w="742" w:type="dxa"/>
            <w:vMerge/>
            <w:tcBorders>
              <w:top w:val="nil"/>
            </w:tcBorders>
          </w:tcPr>
          <w:p>
            <w:pPr>
              <w:rPr>
                <w:sz w:val="2"/>
                <w:szCs w:val="2"/>
              </w:rPr>
            </w:pPr>
          </w:p>
        </w:tc>
        <w:tc>
          <w:tcPr>
            <w:tcW w:w="8444" w:type="dxa"/>
            <w:gridSpan w:val="3"/>
          </w:tcPr>
          <w:p>
            <w:pPr>
              <w:pStyle w:val="TableParagraph"/>
              <w:spacing w:line="215" w:lineRule="exact"/>
              <w:ind w:left="1049" w:right="1044"/>
              <w:rPr>
                <w:sz w:val="18"/>
              </w:rPr>
            </w:pPr>
            <w:r>
              <w:rPr>
                <w:sz w:val="18"/>
              </w:rPr>
              <w:t>溶解性：溶于水，可混溶于醇、醚等多数有机溶剂。</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7"/>
              <w:rPr>
                <w:rFonts w:ascii="Times New Roman" w:hAnsi="Times New Roman" w:eastAsia="Times New Roman"/>
                <w:sz w:val="18"/>
              </w:rPr>
            </w:pPr>
            <w:r>
              <w:rPr>
                <w:sz w:val="18"/>
              </w:rPr>
              <w:t>熔点</w:t>
            </w:r>
            <w:r>
              <w:rPr>
                <w:rFonts w:ascii="Times New Roman" w:hAnsi="Times New Roman" w:eastAsia="Times New Roman"/>
                <w:sz w:val="18"/>
              </w:rPr>
              <w:t>/</w:t>
            </w:r>
            <w:r>
              <w:rPr>
                <w:sz w:val="18"/>
              </w:rPr>
              <w:t>℃：</w:t>
            </w:r>
            <w:r>
              <w:rPr>
                <w:rFonts w:ascii="Times New Roman" w:hAnsi="Times New Roman" w:eastAsia="Times New Roman"/>
                <w:sz w:val="18"/>
              </w:rPr>
              <w:t>-97.8</w:t>
            </w:r>
          </w:p>
        </w:tc>
        <w:tc>
          <w:tcPr>
            <w:tcW w:w="4354" w:type="dxa"/>
            <w:gridSpan w:val="2"/>
          </w:tcPr>
          <w:p>
            <w:pPr>
              <w:pStyle w:val="TableParagraph"/>
              <w:spacing w:line="212" w:lineRule="exact"/>
              <w:ind w:left="1160"/>
              <w:jc w:val="left"/>
              <w:rPr>
                <w:rFonts w:ascii="Times New Roman" w:eastAsia="Times New Roman"/>
                <w:sz w:val="18"/>
              </w:rPr>
            </w:pPr>
            <w:r>
              <w:rPr>
                <w:sz w:val="18"/>
              </w:rPr>
              <w:t>相对密度（水＝</w:t>
            </w:r>
            <w:r>
              <w:rPr>
                <w:rFonts w:ascii="Times New Roman" w:eastAsia="Times New Roman"/>
                <w:sz w:val="18"/>
              </w:rPr>
              <w:t>1</w:t>
            </w:r>
            <w:r>
              <w:rPr>
                <w:sz w:val="18"/>
              </w:rPr>
              <w:t>）：</w:t>
            </w:r>
            <w:r>
              <w:rPr>
                <w:rFonts w:ascii="Times New Roman" w:eastAsia="Times New Roman"/>
                <w:sz w:val="18"/>
              </w:rPr>
              <w:t>0.79</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9"/>
              <w:rPr>
                <w:rFonts w:ascii="Times New Roman" w:hAnsi="Times New Roman" w:eastAsia="Times New Roman"/>
                <w:sz w:val="18"/>
              </w:rPr>
            </w:pPr>
            <w:r>
              <w:rPr>
                <w:sz w:val="18"/>
              </w:rPr>
              <w:t>沸点</w:t>
            </w:r>
            <w:r>
              <w:rPr>
                <w:rFonts w:ascii="Times New Roman" w:hAnsi="Times New Roman" w:eastAsia="Times New Roman"/>
                <w:sz w:val="18"/>
              </w:rPr>
              <w:t>/</w:t>
            </w:r>
            <w:r>
              <w:rPr>
                <w:sz w:val="18"/>
              </w:rPr>
              <w:t>℃：</w:t>
            </w:r>
            <w:r>
              <w:rPr>
                <w:rFonts w:ascii="Times New Roman" w:hAnsi="Times New Roman" w:eastAsia="Times New Roman"/>
                <w:sz w:val="18"/>
              </w:rPr>
              <w:t>64.8</w:t>
            </w:r>
          </w:p>
        </w:tc>
        <w:tc>
          <w:tcPr>
            <w:tcW w:w="4354" w:type="dxa"/>
            <w:gridSpan w:val="2"/>
          </w:tcPr>
          <w:p>
            <w:pPr>
              <w:pStyle w:val="TableParagraph"/>
              <w:spacing w:line="215" w:lineRule="exact"/>
              <w:ind w:left="1228"/>
              <w:jc w:val="left"/>
              <w:rPr>
                <w:sz w:val="18"/>
              </w:rPr>
            </w:pPr>
            <w:r>
              <w:rPr>
                <w:sz w:val="18"/>
              </w:rPr>
              <w:t>相对密度（空气＝</w:t>
            </w:r>
            <w:r>
              <w:rPr>
                <w:rFonts w:ascii="Times New Roman" w:eastAsia="Times New Roman"/>
                <w:sz w:val="18"/>
              </w:rPr>
              <w:t>1</w:t>
            </w:r>
            <w:r>
              <w:rPr>
                <w:sz w:val="18"/>
              </w:rPr>
              <w:t>）：</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6"/>
              <w:rPr>
                <w:sz w:val="18"/>
              </w:rPr>
            </w:pPr>
            <w:r>
              <w:rPr>
                <w:sz w:val="18"/>
              </w:rPr>
              <w:t>临界温度</w:t>
            </w:r>
            <w:r>
              <w:rPr>
                <w:rFonts w:ascii="Times New Roman" w:hAnsi="Times New Roman" w:eastAsia="Times New Roman"/>
                <w:sz w:val="18"/>
              </w:rPr>
              <w:t>/</w:t>
            </w:r>
            <w:r>
              <w:rPr>
                <w:sz w:val="18"/>
              </w:rPr>
              <w:t>℃：</w:t>
            </w:r>
          </w:p>
        </w:tc>
        <w:tc>
          <w:tcPr>
            <w:tcW w:w="4354" w:type="dxa"/>
            <w:gridSpan w:val="2"/>
          </w:tcPr>
          <w:p>
            <w:pPr>
              <w:pStyle w:val="TableParagraph"/>
              <w:spacing w:line="212" w:lineRule="exact"/>
              <w:ind w:left="1043"/>
              <w:jc w:val="left"/>
              <w:rPr>
                <w:sz w:val="18"/>
              </w:rPr>
            </w:pPr>
            <w:r>
              <w:rPr>
                <w:sz w:val="18"/>
              </w:rPr>
              <w:t>燃烧热（</w:t>
            </w:r>
            <w:r>
              <w:rPr>
                <w:rFonts w:ascii="Times New Roman" w:hAnsi="Times New Roman" w:eastAsia="Times New Roman"/>
                <w:sz w:val="18"/>
              </w:rPr>
              <w:t>KJ·mol</w:t>
            </w:r>
            <w:r>
              <w:rPr>
                <w:rFonts w:ascii="Times New Roman" w:hAnsi="Times New Roman" w:eastAsia="Times New Roman"/>
                <w:sz w:val="18"/>
                <w:vertAlign w:val="superscript"/>
              </w:rPr>
              <w:t>-1</w:t>
            </w:r>
            <w:r>
              <w:rPr>
                <w:sz w:val="18"/>
                <w:vertAlign w:val="baseline"/>
              </w:rPr>
              <w:t>）：无资料</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6"/>
              <w:rPr>
                <w:sz w:val="18"/>
              </w:rPr>
            </w:pPr>
            <w:r>
              <w:rPr>
                <w:sz w:val="18"/>
              </w:rPr>
              <w:t>临界压力</w:t>
            </w:r>
            <w:r>
              <w:rPr>
                <w:rFonts w:ascii="Times New Roman" w:eastAsia="Times New Roman"/>
                <w:sz w:val="18"/>
              </w:rPr>
              <w:t>/Mpa</w:t>
            </w:r>
            <w:r>
              <w:rPr>
                <w:sz w:val="18"/>
              </w:rPr>
              <w:t>：</w:t>
            </w:r>
          </w:p>
        </w:tc>
        <w:tc>
          <w:tcPr>
            <w:tcW w:w="4354" w:type="dxa"/>
            <w:gridSpan w:val="2"/>
          </w:tcPr>
          <w:p>
            <w:pPr>
              <w:pStyle w:val="TableParagraph"/>
              <w:spacing w:line="212" w:lineRule="exact"/>
              <w:ind w:left="1235"/>
              <w:jc w:val="left"/>
              <w:rPr>
                <w:sz w:val="18"/>
              </w:rPr>
            </w:pPr>
            <w:r>
              <w:rPr>
                <w:sz w:val="18"/>
              </w:rPr>
              <w:t>最小点火能</w:t>
            </w:r>
            <w:r>
              <w:rPr>
                <w:rFonts w:ascii="Times New Roman" w:eastAsia="Times New Roman"/>
                <w:sz w:val="18"/>
              </w:rPr>
              <w:t>/mJ</w:t>
            </w:r>
            <w:r>
              <w:rPr>
                <w:sz w:val="18"/>
              </w:rPr>
              <w:t>：无资料</w:t>
            </w:r>
          </w:p>
        </w:tc>
      </w:tr>
      <w:tr>
        <w:trPr>
          <w:trHeight w:val="234" w:hRule="atLeast"/>
        </w:trPr>
        <w:tc>
          <w:tcPr>
            <w:tcW w:w="742" w:type="dxa"/>
            <w:vMerge w:val="restart"/>
          </w:tcPr>
          <w:p>
            <w:pPr>
              <w:pStyle w:val="TableParagraph"/>
              <w:jc w:val="left"/>
              <w:rPr>
                <w:b/>
                <w:sz w:val="18"/>
              </w:rPr>
            </w:pPr>
          </w:p>
          <w:p>
            <w:pPr>
              <w:pStyle w:val="TableParagraph"/>
              <w:jc w:val="left"/>
              <w:rPr>
                <w:b/>
                <w:sz w:val="18"/>
              </w:rPr>
            </w:pPr>
          </w:p>
          <w:p>
            <w:pPr>
              <w:pStyle w:val="TableParagraph"/>
              <w:spacing w:line="242" w:lineRule="auto" w:before="141"/>
              <w:ind w:left="189" w:right="180"/>
              <w:jc w:val="both"/>
              <w:rPr>
                <w:sz w:val="18"/>
              </w:rPr>
            </w:pPr>
            <w:r>
              <w:rPr>
                <w:sz w:val="18"/>
              </w:rPr>
              <w:t>燃烧爆炸危险性</w:t>
            </w:r>
          </w:p>
        </w:tc>
        <w:tc>
          <w:tcPr>
            <w:tcW w:w="4090" w:type="dxa"/>
          </w:tcPr>
          <w:p>
            <w:pPr>
              <w:pStyle w:val="TableParagraph"/>
              <w:spacing w:line="215" w:lineRule="exact"/>
              <w:ind w:left="6"/>
              <w:rPr>
                <w:sz w:val="18"/>
              </w:rPr>
            </w:pPr>
            <w:r>
              <w:rPr>
                <w:sz w:val="18"/>
              </w:rPr>
              <w:t>燃烧性：本品易燃，有毒，具刺激性。</w:t>
            </w:r>
          </w:p>
        </w:tc>
        <w:tc>
          <w:tcPr>
            <w:tcW w:w="4354" w:type="dxa"/>
            <w:gridSpan w:val="2"/>
          </w:tcPr>
          <w:p>
            <w:pPr>
              <w:pStyle w:val="TableParagraph"/>
              <w:spacing w:line="215" w:lineRule="exact"/>
              <w:ind w:left="644"/>
              <w:jc w:val="left"/>
              <w:rPr>
                <w:sz w:val="18"/>
              </w:rPr>
            </w:pPr>
            <w:r>
              <w:rPr>
                <w:sz w:val="18"/>
              </w:rPr>
              <w:t>燃烧分解产物：一氧化碳、二氧化碳。</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9"/>
              <w:rPr>
                <w:rFonts w:ascii="Times New Roman" w:hAnsi="Times New Roman" w:eastAsia="Times New Roman"/>
                <w:sz w:val="18"/>
              </w:rPr>
            </w:pPr>
            <w:r>
              <w:rPr>
                <w:sz w:val="18"/>
              </w:rPr>
              <w:t>闪点</w:t>
            </w:r>
            <w:r>
              <w:rPr>
                <w:rFonts w:ascii="Times New Roman" w:hAnsi="Times New Roman" w:eastAsia="Times New Roman"/>
                <w:sz w:val="18"/>
              </w:rPr>
              <w:t>/</w:t>
            </w:r>
            <w:r>
              <w:rPr>
                <w:sz w:val="18"/>
              </w:rPr>
              <w:t>℃：</w:t>
            </w:r>
            <w:r>
              <w:rPr>
                <w:rFonts w:ascii="Times New Roman" w:hAnsi="Times New Roman" w:eastAsia="Times New Roman"/>
                <w:sz w:val="18"/>
              </w:rPr>
              <w:t>11</w:t>
            </w:r>
          </w:p>
        </w:tc>
        <w:tc>
          <w:tcPr>
            <w:tcW w:w="4354" w:type="dxa"/>
            <w:gridSpan w:val="2"/>
          </w:tcPr>
          <w:p>
            <w:pPr>
              <w:pStyle w:val="TableParagraph"/>
              <w:spacing w:line="212" w:lineRule="exact"/>
              <w:ind w:left="1518" w:right="1513"/>
              <w:rPr>
                <w:sz w:val="18"/>
              </w:rPr>
            </w:pPr>
            <w:r>
              <w:rPr>
                <w:sz w:val="18"/>
              </w:rPr>
              <w:t>聚合危害：</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8"/>
              <w:rPr>
                <w:sz w:val="18"/>
              </w:rPr>
            </w:pPr>
            <w:r>
              <w:rPr>
                <w:sz w:val="18"/>
              </w:rPr>
              <w:t>爆炸极限（体积分数）</w:t>
            </w:r>
            <w:r>
              <w:rPr>
                <w:rFonts w:ascii="Times New Roman" w:eastAsia="Times New Roman"/>
                <w:sz w:val="18"/>
              </w:rPr>
              <w:t>/%</w:t>
            </w:r>
            <w:r>
              <w:rPr>
                <w:sz w:val="18"/>
              </w:rPr>
              <w:t>：</w:t>
            </w:r>
          </w:p>
        </w:tc>
        <w:tc>
          <w:tcPr>
            <w:tcW w:w="4354" w:type="dxa"/>
            <w:gridSpan w:val="2"/>
          </w:tcPr>
          <w:p>
            <w:pPr>
              <w:pStyle w:val="TableParagraph"/>
              <w:spacing w:line="215" w:lineRule="exact"/>
              <w:ind w:left="1516" w:right="1513"/>
              <w:rPr>
                <w:sz w:val="18"/>
              </w:rPr>
            </w:pPr>
            <w:r>
              <w:rPr>
                <w:sz w:val="18"/>
              </w:rPr>
              <w:t>稳定性：稳定</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6"/>
              <w:rPr>
                <w:sz w:val="18"/>
              </w:rPr>
            </w:pPr>
            <w:r>
              <w:rPr>
                <w:sz w:val="18"/>
              </w:rPr>
              <w:t>引燃温度</w:t>
            </w:r>
            <w:r>
              <w:rPr>
                <w:rFonts w:ascii="Times New Roman" w:hAnsi="Times New Roman" w:eastAsia="Times New Roman"/>
                <w:sz w:val="18"/>
              </w:rPr>
              <w:t>/</w:t>
            </w:r>
            <w:r>
              <w:rPr>
                <w:sz w:val="18"/>
              </w:rPr>
              <w:t>℃：</w:t>
            </w:r>
          </w:p>
        </w:tc>
        <w:tc>
          <w:tcPr>
            <w:tcW w:w="4354" w:type="dxa"/>
            <w:gridSpan w:val="2"/>
          </w:tcPr>
          <w:p>
            <w:pPr>
              <w:pStyle w:val="TableParagraph"/>
              <w:spacing w:line="212" w:lineRule="exact"/>
              <w:ind w:left="1521" w:right="1494"/>
              <w:rPr>
                <w:sz w:val="18"/>
              </w:rPr>
            </w:pPr>
            <w:r>
              <w:rPr>
                <w:sz w:val="18"/>
              </w:rPr>
              <w:t>禁忌物：</w:t>
            </w:r>
          </w:p>
        </w:tc>
      </w:tr>
      <w:tr>
        <w:trPr>
          <w:trHeight w:val="700" w:hRule="atLeast"/>
        </w:trPr>
        <w:tc>
          <w:tcPr>
            <w:tcW w:w="742" w:type="dxa"/>
            <w:vMerge/>
            <w:tcBorders>
              <w:top w:val="nil"/>
            </w:tcBorders>
          </w:tcPr>
          <w:p>
            <w:pPr>
              <w:rPr>
                <w:sz w:val="2"/>
                <w:szCs w:val="2"/>
              </w:rPr>
            </w:pPr>
          </w:p>
        </w:tc>
        <w:tc>
          <w:tcPr>
            <w:tcW w:w="8444" w:type="dxa"/>
            <w:gridSpan w:val="3"/>
          </w:tcPr>
          <w:p>
            <w:pPr>
              <w:pStyle w:val="TableParagraph"/>
              <w:spacing w:line="242" w:lineRule="auto"/>
              <w:ind w:left="107" w:right="94"/>
              <w:jc w:val="left"/>
              <w:rPr>
                <w:sz w:val="18"/>
              </w:rPr>
            </w:pPr>
            <w:r>
              <w:rPr>
                <w:spacing w:val="-7"/>
                <w:sz w:val="18"/>
              </w:rPr>
              <w:t>危险特性：易燃，其蒸气与空气可形成爆炸性混合物。遇明火、高热能引起燃烧爆炸。与氧化剂接触发生</w:t>
            </w:r>
            <w:r>
              <w:rPr>
                <w:spacing w:val="-6"/>
                <w:sz w:val="18"/>
              </w:rPr>
              <w:t>化学反应或引起燃烧。在火场中，受热的容器有爆炸危险。其蒸气比空气重，能在较低处扩散到相当远的</w:t>
            </w:r>
          </w:p>
          <w:p>
            <w:pPr>
              <w:pStyle w:val="TableParagraph"/>
              <w:spacing w:line="213" w:lineRule="exact" w:before="2"/>
              <w:ind w:left="107"/>
              <w:jc w:val="left"/>
              <w:rPr>
                <w:sz w:val="18"/>
              </w:rPr>
            </w:pPr>
            <w:r>
              <w:rPr>
                <w:sz w:val="18"/>
              </w:rPr>
              <w:t>地方，遇明火会引着回燃。</w:t>
            </w:r>
          </w:p>
        </w:tc>
      </w:tr>
      <w:tr>
        <w:trPr>
          <w:trHeight w:val="467" w:hRule="atLeast"/>
        </w:trPr>
        <w:tc>
          <w:tcPr>
            <w:tcW w:w="742" w:type="dxa"/>
            <w:vMerge/>
            <w:tcBorders>
              <w:top w:val="nil"/>
            </w:tcBorders>
          </w:tcPr>
          <w:p>
            <w:pPr>
              <w:rPr>
                <w:sz w:val="2"/>
                <w:szCs w:val="2"/>
              </w:rPr>
            </w:pPr>
          </w:p>
        </w:tc>
        <w:tc>
          <w:tcPr>
            <w:tcW w:w="8444" w:type="dxa"/>
            <w:gridSpan w:val="3"/>
          </w:tcPr>
          <w:p>
            <w:pPr>
              <w:pStyle w:val="TableParagraph"/>
              <w:spacing w:line="230" w:lineRule="exact"/>
              <w:ind w:left="107"/>
              <w:jc w:val="left"/>
              <w:rPr>
                <w:sz w:val="18"/>
              </w:rPr>
            </w:pPr>
            <w:r>
              <w:rPr>
                <w:sz w:val="18"/>
              </w:rPr>
              <w:t>灭火方法：尽可能将容器从火场移至空旷处。喷水保持火场容器冷却，直至灭火结束。处在火场中的容器</w:t>
            </w:r>
          </w:p>
          <w:p>
            <w:pPr>
              <w:pStyle w:val="TableParagraph"/>
              <w:spacing w:line="215" w:lineRule="exact" w:before="2"/>
              <w:ind w:left="107"/>
              <w:jc w:val="left"/>
              <w:rPr>
                <w:sz w:val="18"/>
              </w:rPr>
            </w:pPr>
            <w:r>
              <w:rPr>
                <w:sz w:val="18"/>
              </w:rPr>
              <w:t>若已变色或从安全泄压装置中产生声音，必须马上撤离。灭火剂：抗溶性泡沫、干粉、二氧化碳、砂土。</w:t>
            </w:r>
          </w:p>
        </w:tc>
      </w:tr>
      <w:tr>
        <w:trPr>
          <w:trHeight w:val="700" w:hRule="atLeast"/>
        </w:trPr>
        <w:tc>
          <w:tcPr>
            <w:tcW w:w="742" w:type="dxa"/>
          </w:tcPr>
          <w:p>
            <w:pPr>
              <w:pStyle w:val="TableParagraph"/>
              <w:spacing w:before="2"/>
              <w:jc w:val="left"/>
              <w:rPr>
                <w:b/>
                <w:sz w:val="18"/>
              </w:rPr>
            </w:pPr>
          </w:p>
          <w:p>
            <w:pPr>
              <w:pStyle w:val="TableParagraph"/>
              <w:ind w:left="169" w:right="162"/>
              <w:rPr>
                <w:sz w:val="18"/>
              </w:rPr>
            </w:pPr>
            <w:r>
              <w:rPr>
                <w:sz w:val="18"/>
              </w:rPr>
              <w:t>毒性</w:t>
            </w:r>
          </w:p>
        </w:tc>
        <w:tc>
          <w:tcPr>
            <w:tcW w:w="8444" w:type="dxa"/>
            <w:gridSpan w:val="3"/>
          </w:tcPr>
          <w:p>
            <w:pPr>
              <w:pStyle w:val="TableParagraph"/>
              <w:spacing w:line="242" w:lineRule="auto"/>
              <w:ind w:left="107" w:right="97"/>
              <w:jc w:val="left"/>
              <w:rPr>
                <w:rFonts w:ascii="Times New Roman" w:eastAsia="Times New Roman"/>
                <w:sz w:val="18"/>
              </w:rPr>
            </w:pPr>
            <w:r>
              <w:rPr>
                <w:sz w:val="18"/>
              </w:rPr>
              <w:t>急性毒性：</w:t>
            </w:r>
            <w:r>
              <w:rPr>
                <w:rFonts w:ascii="Times New Roman" w:eastAsia="Times New Roman"/>
                <w:sz w:val="18"/>
              </w:rPr>
              <w:t>LD</w:t>
            </w:r>
            <w:r>
              <w:rPr>
                <w:rFonts w:ascii="Times New Roman" w:eastAsia="Times New Roman"/>
                <w:sz w:val="18"/>
                <w:vertAlign w:val="subscript"/>
              </w:rPr>
              <w:t>50</w:t>
            </w:r>
            <w:r>
              <w:rPr>
                <w:rFonts w:ascii="Times New Roman" w:eastAsia="Times New Roman"/>
                <w:sz w:val="18"/>
                <w:vertAlign w:val="baseline"/>
              </w:rPr>
              <w:t>5628mg/kg(</w:t>
            </w:r>
            <w:r>
              <w:rPr>
                <w:sz w:val="18"/>
                <w:vertAlign w:val="baseline"/>
              </w:rPr>
              <w:t>大鼠经口</w:t>
            </w:r>
            <w:r>
              <w:rPr>
                <w:rFonts w:ascii="Times New Roman" w:eastAsia="Times New Roman"/>
                <w:sz w:val="18"/>
                <w:vertAlign w:val="baseline"/>
              </w:rPr>
              <w:t>)</w:t>
            </w:r>
            <w:r>
              <w:rPr>
                <w:sz w:val="18"/>
                <w:vertAlign w:val="baseline"/>
              </w:rPr>
              <w:t>；</w:t>
            </w:r>
            <w:r>
              <w:rPr>
                <w:rFonts w:ascii="Times New Roman" w:eastAsia="Times New Roman"/>
                <w:sz w:val="18"/>
                <w:vertAlign w:val="baseline"/>
              </w:rPr>
              <w:t>15800mg/kg(</w:t>
            </w:r>
            <w:r>
              <w:rPr>
                <w:sz w:val="18"/>
                <w:vertAlign w:val="baseline"/>
              </w:rPr>
              <w:t>兔经皮</w:t>
            </w:r>
            <w:r>
              <w:rPr>
                <w:rFonts w:ascii="Times New Roman" w:eastAsia="Times New Roman"/>
                <w:sz w:val="18"/>
                <w:vertAlign w:val="baseline"/>
              </w:rPr>
              <w:t>)</w:t>
            </w:r>
            <w:r>
              <w:rPr>
                <w:sz w:val="18"/>
                <w:vertAlign w:val="baseline"/>
              </w:rPr>
              <w:t>；</w:t>
            </w:r>
            <w:r>
              <w:rPr>
                <w:rFonts w:ascii="Times New Roman" w:eastAsia="Times New Roman"/>
                <w:sz w:val="18"/>
                <w:vertAlign w:val="baseline"/>
              </w:rPr>
              <w:t>LC</w:t>
            </w:r>
            <w:r>
              <w:rPr>
                <w:rFonts w:ascii="Times New Roman" w:eastAsia="Times New Roman"/>
                <w:sz w:val="18"/>
                <w:vertAlign w:val="subscript"/>
              </w:rPr>
              <w:t>50</w:t>
            </w:r>
            <w:r>
              <w:rPr>
                <w:rFonts w:ascii="Times New Roman" w:eastAsia="Times New Roman"/>
                <w:sz w:val="18"/>
                <w:vertAlign w:val="baseline"/>
              </w:rPr>
              <w:t>82776mg/kg</w:t>
            </w:r>
            <w:r>
              <w:rPr>
                <w:sz w:val="18"/>
                <w:vertAlign w:val="baseline"/>
              </w:rPr>
              <w:t>，</w:t>
            </w:r>
            <w:r>
              <w:rPr>
                <w:rFonts w:ascii="Times New Roman" w:eastAsia="Times New Roman"/>
                <w:sz w:val="18"/>
                <w:vertAlign w:val="baseline"/>
              </w:rPr>
              <w:t>4 </w:t>
            </w:r>
            <w:r>
              <w:rPr>
                <w:sz w:val="18"/>
                <w:vertAlign w:val="baseline"/>
              </w:rPr>
              <w:t>小时</w:t>
            </w:r>
            <w:r>
              <w:rPr>
                <w:rFonts w:ascii="Times New Roman" w:eastAsia="Times New Roman"/>
                <w:spacing w:val="-3"/>
                <w:sz w:val="18"/>
                <w:vertAlign w:val="baseline"/>
              </w:rPr>
              <w:t>(</w:t>
            </w:r>
            <w:r>
              <w:rPr>
                <w:sz w:val="18"/>
                <w:vertAlign w:val="baseline"/>
              </w:rPr>
              <w:t>大鼠吸入</w:t>
            </w:r>
            <w:r>
              <w:rPr>
                <w:rFonts w:ascii="Times New Roman" w:eastAsia="Times New Roman"/>
                <w:sz w:val="18"/>
                <w:vertAlign w:val="baseline"/>
              </w:rPr>
              <w:t>)</w:t>
            </w:r>
            <w:r>
              <w:rPr>
                <w:sz w:val="18"/>
                <w:vertAlign w:val="baseline"/>
              </w:rPr>
              <w:t>；人经</w:t>
            </w:r>
            <w:r>
              <w:rPr>
                <w:spacing w:val="-23"/>
                <w:sz w:val="18"/>
                <w:vertAlign w:val="baseline"/>
              </w:rPr>
              <w:t>口 </w:t>
            </w:r>
            <w:r>
              <w:rPr>
                <w:rFonts w:ascii="Times New Roman" w:eastAsia="Times New Roman"/>
                <w:spacing w:val="-7"/>
                <w:sz w:val="18"/>
                <w:vertAlign w:val="baseline"/>
              </w:rPr>
              <w:t>5</w:t>
            </w:r>
            <w:r>
              <w:rPr>
                <w:spacing w:val="-7"/>
                <w:sz w:val="18"/>
                <w:vertAlign w:val="baseline"/>
              </w:rPr>
              <w:t>～</w:t>
            </w:r>
            <w:r>
              <w:rPr>
                <w:rFonts w:ascii="Times New Roman" w:eastAsia="Times New Roman"/>
                <w:spacing w:val="-7"/>
                <w:sz w:val="18"/>
                <w:vertAlign w:val="baseline"/>
              </w:rPr>
              <w:t>10ml</w:t>
            </w:r>
            <w:r>
              <w:rPr>
                <w:spacing w:val="-11"/>
                <w:sz w:val="18"/>
                <w:vertAlign w:val="baseline"/>
              </w:rPr>
              <w:t>，潜伏期 </w:t>
            </w:r>
            <w:r>
              <w:rPr>
                <w:rFonts w:ascii="Times New Roman" w:eastAsia="Times New Roman"/>
                <w:sz w:val="18"/>
                <w:vertAlign w:val="baseline"/>
              </w:rPr>
              <w:t>8</w:t>
            </w:r>
            <w:r>
              <w:rPr>
                <w:sz w:val="18"/>
                <w:vertAlign w:val="baseline"/>
              </w:rPr>
              <w:t>～</w:t>
            </w:r>
            <w:r>
              <w:rPr>
                <w:rFonts w:ascii="Times New Roman" w:eastAsia="Times New Roman"/>
                <w:sz w:val="18"/>
                <w:vertAlign w:val="baseline"/>
              </w:rPr>
              <w:t>36 </w:t>
            </w:r>
            <w:r>
              <w:rPr>
                <w:spacing w:val="-15"/>
                <w:sz w:val="18"/>
                <w:vertAlign w:val="baseline"/>
              </w:rPr>
              <w:t>小时，致昏迷；人经口 </w:t>
            </w:r>
            <w:r>
              <w:rPr>
                <w:rFonts w:ascii="Times New Roman" w:eastAsia="Times New Roman"/>
                <w:spacing w:val="-7"/>
                <w:sz w:val="18"/>
                <w:vertAlign w:val="baseline"/>
              </w:rPr>
              <w:t>15ml</w:t>
            </w:r>
            <w:r>
              <w:rPr>
                <w:spacing w:val="-7"/>
                <w:sz w:val="18"/>
                <w:vertAlign w:val="baseline"/>
              </w:rPr>
              <w:t>，</w:t>
            </w:r>
            <w:r>
              <w:rPr>
                <w:rFonts w:ascii="Times New Roman" w:eastAsia="Times New Roman"/>
                <w:spacing w:val="-7"/>
                <w:sz w:val="18"/>
                <w:vertAlign w:val="baseline"/>
              </w:rPr>
              <w:t>48 </w:t>
            </w:r>
            <w:r>
              <w:rPr>
                <w:spacing w:val="-11"/>
                <w:sz w:val="18"/>
                <w:vertAlign w:val="baseline"/>
              </w:rPr>
              <w:t>小时内产生视网膜炎，失明；人经口 </w:t>
            </w:r>
            <w:r>
              <w:rPr>
                <w:rFonts w:ascii="Times New Roman" w:eastAsia="Times New Roman"/>
                <w:sz w:val="18"/>
                <w:vertAlign w:val="baseline"/>
              </w:rPr>
              <w:t>30</w:t>
            </w:r>
            <w:r>
              <w:rPr>
                <w:sz w:val="18"/>
                <w:vertAlign w:val="baseline"/>
              </w:rPr>
              <w:t>～</w:t>
            </w:r>
            <w:r>
              <w:rPr>
                <w:rFonts w:ascii="Times New Roman" w:eastAsia="Times New Roman"/>
                <w:sz w:val="18"/>
                <w:vertAlign w:val="baseline"/>
              </w:rPr>
              <w:t>100ml</w:t>
            </w:r>
          </w:p>
          <w:p>
            <w:pPr>
              <w:pStyle w:val="TableParagraph"/>
              <w:spacing w:line="215" w:lineRule="exact"/>
              <w:ind w:left="107"/>
              <w:jc w:val="left"/>
              <w:rPr>
                <w:sz w:val="18"/>
              </w:rPr>
            </w:pPr>
            <w:r>
              <w:rPr>
                <w:sz w:val="18"/>
              </w:rPr>
              <w:t>中枢神经系统严重损害，呼吸衰弱，死亡。</w:t>
            </w:r>
          </w:p>
        </w:tc>
      </w:tr>
      <w:tr>
        <w:trPr>
          <w:trHeight w:val="700" w:hRule="atLeast"/>
        </w:trPr>
        <w:tc>
          <w:tcPr>
            <w:tcW w:w="742" w:type="dxa"/>
          </w:tcPr>
          <w:p>
            <w:pPr>
              <w:pStyle w:val="TableParagraph"/>
              <w:spacing w:line="242" w:lineRule="auto"/>
              <w:ind w:left="189" w:right="180"/>
              <w:rPr>
                <w:sz w:val="18"/>
              </w:rPr>
            </w:pPr>
            <w:r>
              <w:rPr>
                <w:sz w:val="18"/>
              </w:rPr>
              <w:t>对人体危</w:t>
            </w:r>
          </w:p>
          <w:p>
            <w:pPr>
              <w:pStyle w:val="TableParagraph"/>
              <w:spacing w:line="215" w:lineRule="exact"/>
              <w:ind w:left="4"/>
              <w:rPr>
                <w:sz w:val="18"/>
              </w:rPr>
            </w:pPr>
            <w:r>
              <w:rPr>
                <w:sz w:val="18"/>
              </w:rPr>
              <w:t>害</w:t>
            </w:r>
          </w:p>
        </w:tc>
        <w:tc>
          <w:tcPr>
            <w:tcW w:w="8444" w:type="dxa"/>
            <w:gridSpan w:val="3"/>
          </w:tcPr>
          <w:p>
            <w:pPr>
              <w:pStyle w:val="TableParagraph"/>
              <w:numPr>
                <w:ilvl w:val="0"/>
                <w:numId w:val="11"/>
              </w:numPr>
              <w:tabs>
                <w:tab w:pos="169" w:val="left" w:leader="none"/>
              </w:tabs>
              <w:spacing w:line="240" w:lineRule="auto" w:before="0" w:after="0"/>
              <w:ind w:left="168" w:right="0" w:hanging="62"/>
              <w:jc w:val="left"/>
              <w:rPr>
                <w:sz w:val="18"/>
              </w:rPr>
            </w:pPr>
            <w:r>
              <w:rPr>
                <w:sz w:val="18"/>
              </w:rPr>
              <w:t>侵入途径：吸入、食入、经皮吸收。</w:t>
            </w:r>
          </w:p>
          <w:p>
            <w:pPr>
              <w:pStyle w:val="TableParagraph"/>
              <w:numPr>
                <w:ilvl w:val="0"/>
                <w:numId w:val="11"/>
              </w:numPr>
              <w:tabs>
                <w:tab w:pos="169" w:val="left" w:leader="none"/>
              </w:tabs>
              <w:spacing w:line="230" w:lineRule="atLeast" w:before="2" w:after="0"/>
              <w:ind w:left="107" w:right="94" w:firstLine="0"/>
              <w:jc w:val="left"/>
              <w:rPr>
                <w:sz w:val="18"/>
              </w:rPr>
            </w:pPr>
            <w:r>
              <w:rPr>
                <w:sz w:val="18"/>
              </w:rPr>
              <w:t>健康危害：对中枢神经系统有麻醉作用；对视神经和视网膜有特殊选择作用，引起病变；可致代谢性酸中毒。</w:t>
            </w:r>
          </w:p>
        </w:tc>
      </w:tr>
      <w:tr>
        <w:trPr>
          <w:trHeight w:val="700" w:hRule="atLeast"/>
        </w:trPr>
        <w:tc>
          <w:tcPr>
            <w:tcW w:w="742" w:type="dxa"/>
          </w:tcPr>
          <w:p>
            <w:pPr>
              <w:pStyle w:val="TableParagraph"/>
              <w:spacing w:before="1"/>
              <w:jc w:val="left"/>
              <w:rPr>
                <w:b/>
                <w:sz w:val="18"/>
              </w:rPr>
            </w:pPr>
          </w:p>
          <w:p>
            <w:pPr>
              <w:pStyle w:val="TableParagraph"/>
              <w:spacing w:before="1"/>
              <w:ind w:left="169" w:right="162"/>
              <w:rPr>
                <w:sz w:val="18"/>
              </w:rPr>
            </w:pPr>
            <w:r>
              <w:rPr>
                <w:sz w:val="18"/>
              </w:rPr>
              <w:t>急救</w:t>
            </w:r>
          </w:p>
        </w:tc>
        <w:tc>
          <w:tcPr>
            <w:tcW w:w="8444" w:type="dxa"/>
            <w:gridSpan w:val="3"/>
          </w:tcPr>
          <w:p>
            <w:pPr>
              <w:pStyle w:val="TableParagraph"/>
              <w:numPr>
                <w:ilvl w:val="0"/>
                <w:numId w:val="12"/>
              </w:numPr>
              <w:tabs>
                <w:tab w:pos="169" w:val="left" w:leader="none"/>
              </w:tabs>
              <w:spacing w:line="240" w:lineRule="auto" w:before="0" w:after="0"/>
              <w:ind w:left="168" w:right="0" w:hanging="62"/>
              <w:jc w:val="left"/>
              <w:rPr>
                <w:sz w:val="18"/>
              </w:rPr>
            </w:pPr>
            <w:r>
              <w:rPr>
                <w:sz w:val="18"/>
              </w:rPr>
              <w:t>皮肤接触：脱去被污染的衣着，用肥皂水和清水彻底冲洗皮肤。</w:t>
            </w:r>
            <w:r>
              <w:rPr>
                <w:rFonts w:ascii="Times New Roman" w:hAnsi="Times New Roman" w:eastAsia="Times New Roman"/>
                <w:spacing w:val="-3"/>
                <w:sz w:val="18"/>
              </w:rPr>
              <w:t>·</w:t>
            </w:r>
            <w:r>
              <w:rPr>
                <w:sz w:val="18"/>
              </w:rPr>
              <w:t>眼睛接触：提起眼睑，用流动清水或生</w:t>
            </w:r>
          </w:p>
          <w:p>
            <w:pPr>
              <w:pStyle w:val="TableParagraph"/>
              <w:spacing w:line="230" w:lineRule="atLeast" w:before="2"/>
              <w:ind w:left="107" w:right="5"/>
              <w:jc w:val="left"/>
              <w:rPr>
                <w:sz w:val="18"/>
              </w:rPr>
            </w:pPr>
            <w:r>
              <w:rPr>
                <w:sz w:val="18"/>
              </w:rPr>
              <w:t>理盐水冲洗。就医。</w:t>
            </w:r>
            <w:r>
              <w:rPr>
                <w:rFonts w:ascii="Times New Roman" w:hAnsi="Times New Roman" w:eastAsia="Times New Roman"/>
                <w:sz w:val="18"/>
              </w:rPr>
              <w:t>·</w:t>
            </w:r>
            <w:r>
              <w:rPr>
                <w:sz w:val="18"/>
              </w:rPr>
              <w:t>吸入：迅速脱离现场至空气新鲜处。保持呼吸道通畅。如呼吸困难，给输氧。如呼</w:t>
            </w:r>
            <w:r>
              <w:rPr>
                <w:spacing w:val="-7"/>
                <w:sz w:val="18"/>
              </w:rPr>
              <w:t>吸停止，立即进行人工呼吸。就医。</w:t>
            </w:r>
            <w:r>
              <w:rPr>
                <w:rFonts w:ascii="Times New Roman" w:hAnsi="Times New Roman" w:eastAsia="Times New Roman"/>
                <w:spacing w:val="-3"/>
                <w:sz w:val="18"/>
              </w:rPr>
              <w:t>·</w:t>
            </w:r>
            <w:r>
              <w:rPr>
                <w:spacing w:val="-11"/>
                <w:sz w:val="18"/>
              </w:rPr>
              <w:t>食入：饮足量温水，催吐，用清水或 </w:t>
            </w:r>
            <w:r>
              <w:rPr>
                <w:rFonts w:ascii="Times New Roman" w:hAnsi="Times New Roman" w:eastAsia="Times New Roman"/>
                <w:sz w:val="18"/>
              </w:rPr>
              <w:t>1%</w:t>
            </w:r>
            <w:r>
              <w:rPr>
                <w:spacing w:val="-2"/>
                <w:sz w:val="18"/>
              </w:rPr>
              <w:t>硫代硫酸钠溶液洗胃。就医。</w:t>
            </w:r>
          </w:p>
        </w:tc>
      </w:tr>
      <w:tr>
        <w:trPr>
          <w:trHeight w:val="700" w:hRule="atLeast"/>
        </w:trPr>
        <w:tc>
          <w:tcPr>
            <w:tcW w:w="742" w:type="dxa"/>
          </w:tcPr>
          <w:p>
            <w:pPr>
              <w:pStyle w:val="TableParagraph"/>
              <w:spacing w:before="2"/>
              <w:jc w:val="left"/>
              <w:rPr>
                <w:b/>
                <w:sz w:val="18"/>
              </w:rPr>
            </w:pPr>
          </w:p>
          <w:p>
            <w:pPr>
              <w:pStyle w:val="TableParagraph"/>
              <w:ind w:left="169" w:right="162"/>
              <w:rPr>
                <w:sz w:val="18"/>
              </w:rPr>
            </w:pPr>
            <w:r>
              <w:rPr>
                <w:sz w:val="18"/>
              </w:rPr>
              <w:t>防护</w:t>
            </w:r>
          </w:p>
        </w:tc>
        <w:tc>
          <w:tcPr>
            <w:tcW w:w="8444" w:type="dxa"/>
            <w:gridSpan w:val="3"/>
          </w:tcPr>
          <w:p>
            <w:pPr>
              <w:pStyle w:val="TableParagraph"/>
              <w:numPr>
                <w:ilvl w:val="0"/>
                <w:numId w:val="13"/>
              </w:numPr>
              <w:tabs>
                <w:tab w:pos="169" w:val="left" w:leader="none"/>
              </w:tabs>
              <w:spacing w:line="230" w:lineRule="exact" w:before="0" w:after="0"/>
              <w:ind w:left="168" w:right="0" w:hanging="62"/>
              <w:jc w:val="left"/>
              <w:rPr>
                <w:sz w:val="18"/>
              </w:rPr>
            </w:pPr>
            <w:r>
              <w:rPr>
                <w:spacing w:val="-3"/>
                <w:sz w:val="18"/>
              </w:rPr>
              <w:t>呼吸系统防护：可能接触其蒸气时，应该佩戴过滤式防毒面罩</w:t>
            </w:r>
            <w:r>
              <w:rPr>
                <w:rFonts w:ascii="Times New Roman" w:hAnsi="Times New Roman" w:eastAsia="Times New Roman"/>
                <w:spacing w:val="-3"/>
                <w:sz w:val="18"/>
              </w:rPr>
              <w:t>(</w:t>
            </w:r>
            <w:r>
              <w:rPr>
                <w:sz w:val="18"/>
              </w:rPr>
              <w:t>半面罩</w:t>
            </w:r>
            <w:r>
              <w:rPr>
                <w:rFonts w:ascii="Times New Roman" w:hAnsi="Times New Roman" w:eastAsia="Times New Roman"/>
                <w:spacing w:val="-3"/>
                <w:sz w:val="18"/>
              </w:rPr>
              <w:t>)</w:t>
            </w:r>
            <w:r>
              <w:rPr>
                <w:spacing w:val="-5"/>
                <w:sz w:val="18"/>
              </w:rPr>
              <w:t>。紧急事态抢救或撤离时，建议佩</w:t>
            </w:r>
          </w:p>
          <w:p>
            <w:pPr>
              <w:pStyle w:val="TableParagraph"/>
              <w:spacing w:line="230" w:lineRule="atLeast" w:before="2"/>
              <w:ind w:left="107" w:right="87"/>
              <w:jc w:val="left"/>
              <w:rPr>
                <w:sz w:val="18"/>
              </w:rPr>
            </w:pPr>
            <w:r>
              <w:rPr>
                <w:spacing w:val="-6"/>
                <w:sz w:val="18"/>
              </w:rPr>
              <w:t>戴空气呼吸器。</w:t>
            </w:r>
            <w:r>
              <w:rPr>
                <w:rFonts w:ascii="Times New Roman" w:hAnsi="Times New Roman" w:eastAsia="Times New Roman"/>
                <w:spacing w:val="-3"/>
                <w:sz w:val="18"/>
              </w:rPr>
              <w:t>·</w:t>
            </w:r>
            <w:r>
              <w:rPr>
                <w:spacing w:val="-10"/>
                <w:sz w:val="18"/>
              </w:rPr>
              <w:t>眼睛防护：戴化学安全防护眼镜。</w:t>
            </w:r>
            <w:r>
              <w:rPr>
                <w:rFonts w:ascii="Times New Roman" w:hAnsi="Times New Roman" w:eastAsia="Times New Roman"/>
                <w:spacing w:val="-3"/>
                <w:sz w:val="18"/>
              </w:rPr>
              <w:t>·</w:t>
            </w:r>
            <w:r>
              <w:rPr>
                <w:spacing w:val="-10"/>
                <w:sz w:val="18"/>
              </w:rPr>
              <w:t>身体防护：穿防静电工作服。</w:t>
            </w:r>
            <w:r>
              <w:rPr>
                <w:rFonts w:ascii="Times New Roman" w:hAnsi="Times New Roman" w:eastAsia="Times New Roman"/>
                <w:spacing w:val="-3"/>
                <w:sz w:val="18"/>
              </w:rPr>
              <w:t>·</w:t>
            </w:r>
            <w:r>
              <w:rPr>
                <w:spacing w:val="-11"/>
                <w:sz w:val="18"/>
              </w:rPr>
              <w:t>手防护：戴橡胶手套。</w:t>
            </w:r>
            <w:r>
              <w:rPr>
                <w:rFonts w:ascii="Times New Roman" w:hAnsi="Times New Roman" w:eastAsia="Times New Roman"/>
                <w:sz w:val="18"/>
              </w:rPr>
              <w:t>·</w:t>
            </w:r>
            <w:r>
              <w:rPr>
                <w:spacing w:val="-12"/>
                <w:sz w:val="18"/>
              </w:rPr>
              <w:t>其</w:t>
            </w:r>
            <w:r>
              <w:rPr>
                <w:spacing w:val="-10"/>
                <w:sz w:val="18"/>
              </w:rPr>
              <w:t>它：工作现场禁止吸烟、进食和饮水。工作毕，淋浴更衣。实行就业前和定期的体检。</w:t>
            </w:r>
          </w:p>
        </w:tc>
      </w:tr>
      <w:tr>
        <w:trPr>
          <w:trHeight w:val="1166" w:hRule="atLeast"/>
        </w:trPr>
        <w:tc>
          <w:tcPr>
            <w:tcW w:w="742" w:type="dxa"/>
          </w:tcPr>
          <w:p>
            <w:pPr>
              <w:pStyle w:val="TableParagraph"/>
              <w:jc w:val="left"/>
              <w:rPr>
                <w:b/>
                <w:sz w:val="18"/>
              </w:rPr>
            </w:pPr>
          </w:p>
          <w:p>
            <w:pPr>
              <w:pStyle w:val="TableParagraph"/>
              <w:spacing w:line="242" w:lineRule="auto" w:before="117"/>
              <w:ind w:left="189" w:right="180"/>
              <w:jc w:val="left"/>
              <w:rPr>
                <w:sz w:val="18"/>
              </w:rPr>
            </w:pPr>
            <w:r>
              <w:rPr>
                <w:sz w:val="18"/>
              </w:rPr>
              <w:t>泄漏处理</w:t>
            </w:r>
          </w:p>
        </w:tc>
        <w:tc>
          <w:tcPr>
            <w:tcW w:w="8444" w:type="dxa"/>
            <w:gridSpan w:val="3"/>
          </w:tcPr>
          <w:p>
            <w:pPr>
              <w:pStyle w:val="TableParagraph"/>
              <w:spacing w:line="242" w:lineRule="auto"/>
              <w:ind w:left="107" w:right="44"/>
              <w:jc w:val="both"/>
              <w:rPr>
                <w:sz w:val="18"/>
              </w:rPr>
            </w:pPr>
            <w:r>
              <w:rPr>
                <w:spacing w:val="-5"/>
                <w:sz w:val="18"/>
              </w:rPr>
              <w:t>迅速撤离泄漏污染区人员至安全区，并进行隔离。切断火源。建议应急处理人员戴自给正压式呼吸器，穿</w:t>
            </w:r>
            <w:r>
              <w:rPr>
                <w:spacing w:val="-6"/>
                <w:sz w:val="18"/>
              </w:rPr>
              <w:t>防毒服。不要直接接触泄漏物。尽可能切断泄漏源，防止进入下水道、排洪沟等限制性空间。小量泄漏： </w:t>
            </w:r>
            <w:r>
              <w:rPr>
                <w:spacing w:val="-4"/>
                <w:sz w:val="18"/>
              </w:rPr>
              <w:t>用砂土或其它不燃材料吸附或吸收。也可以用大量水冲洗，洗液稀释后放入废水系统。大量泄漏：构筑围</w:t>
            </w:r>
            <w:r>
              <w:rPr>
                <w:spacing w:val="-9"/>
                <w:sz w:val="18"/>
              </w:rPr>
              <w:t>堤或挖坑收容；用泡沫覆盖，降低蒸气灾害。用防爆泵转移至槽车或专用收集器内。回收或运至废物处理</w:t>
            </w:r>
          </w:p>
          <w:p>
            <w:pPr>
              <w:pStyle w:val="TableParagraph"/>
              <w:spacing w:line="213" w:lineRule="exact" w:before="1"/>
              <w:ind w:left="107"/>
              <w:jc w:val="left"/>
              <w:rPr>
                <w:sz w:val="18"/>
              </w:rPr>
            </w:pPr>
            <w:r>
              <w:rPr>
                <w:sz w:val="18"/>
              </w:rPr>
              <w:t>场所处置。</w:t>
            </w:r>
          </w:p>
        </w:tc>
      </w:tr>
      <w:tr>
        <w:trPr>
          <w:trHeight w:val="234" w:hRule="atLeast"/>
        </w:trPr>
        <w:tc>
          <w:tcPr>
            <w:tcW w:w="742" w:type="dxa"/>
          </w:tcPr>
          <w:p>
            <w:pPr>
              <w:pStyle w:val="TableParagraph"/>
              <w:spacing w:line="215" w:lineRule="exact"/>
              <w:ind w:left="169" w:right="162"/>
              <w:rPr>
                <w:sz w:val="18"/>
              </w:rPr>
            </w:pPr>
            <w:r>
              <w:rPr>
                <w:sz w:val="18"/>
              </w:rPr>
              <w:t>操作</w:t>
            </w:r>
          </w:p>
        </w:tc>
        <w:tc>
          <w:tcPr>
            <w:tcW w:w="8444" w:type="dxa"/>
            <w:gridSpan w:val="3"/>
          </w:tcPr>
          <w:p>
            <w:pPr>
              <w:pStyle w:val="TableParagraph"/>
              <w:numPr>
                <w:ilvl w:val="0"/>
                <w:numId w:val="14"/>
              </w:numPr>
              <w:tabs>
                <w:tab w:pos="169" w:val="left" w:leader="none"/>
              </w:tabs>
              <w:spacing w:line="215" w:lineRule="exact" w:before="0" w:after="0"/>
              <w:ind w:left="168" w:right="0" w:hanging="62"/>
              <w:jc w:val="left"/>
              <w:rPr>
                <w:sz w:val="18"/>
              </w:rPr>
            </w:pPr>
            <w:r>
              <w:rPr>
                <w:sz w:val="18"/>
              </w:rPr>
              <w:t>操作处置注意事项：严加密闭，提供充分的局部排风和全面通风。操作人员必须经过专门培训，严格遵</w:t>
            </w:r>
          </w:p>
        </w:tc>
      </w:tr>
    </w:tbl>
    <w:p>
      <w:pPr>
        <w:spacing w:after="0" w:line="215" w:lineRule="exact"/>
        <w:jc w:val="left"/>
        <w:rPr>
          <w:sz w:val="18"/>
        </w:rPr>
        <w:sectPr>
          <w:pgSz w:w="11910" w:h="16840"/>
          <w:pgMar w:header="0" w:footer="952" w:top="1580" w:bottom="1180" w:left="1240" w:right="1240"/>
        </w:sectPr>
      </w:pPr>
    </w:p>
    <w:p>
      <w:pPr>
        <w:pStyle w:val="BodyText"/>
        <w:spacing w:before="1"/>
        <w:rPr>
          <w:b/>
          <w:sz w:val="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8444"/>
      </w:tblGrid>
      <w:tr>
        <w:trPr>
          <w:trHeight w:val="231" w:hRule="atLeast"/>
        </w:trPr>
        <w:tc>
          <w:tcPr>
            <w:tcW w:w="742" w:type="dxa"/>
            <w:tcBorders>
              <w:bottom w:val="nil"/>
            </w:tcBorders>
          </w:tcPr>
          <w:p>
            <w:pPr>
              <w:pStyle w:val="TableParagraph"/>
              <w:spacing w:line="212" w:lineRule="exact"/>
              <w:ind w:left="169" w:right="162"/>
              <w:rPr>
                <w:sz w:val="18"/>
              </w:rPr>
            </w:pPr>
            <w:r>
              <w:rPr>
                <w:sz w:val="18"/>
              </w:rPr>
              <w:t>处置</w:t>
            </w:r>
          </w:p>
        </w:tc>
        <w:tc>
          <w:tcPr>
            <w:tcW w:w="8444" w:type="dxa"/>
            <w:tcBorders>
              <w:bottom w:val="nil"/>
            </w:tcBorders>
          </w:tcPr>
          <w:p>
            <w:pPr>
              <w:pStyle w:val="TableParagraph"/>
              <w:spacing w:line="212" w:lineRule="exact"/>
              <w:ind w:left="107"/>
              <w:jc w:val="left"/>
              <w:rPr>
                <w:sz w:val="18"/>
              </w:rPr>
            </w:pPr>
            <w:r>
              <w:rPr>
                <w:sz w:val="18"/>
              </w:rPr>
              <w:t>守操作规程。建议操作人员佩戴过滤式防毒面具（半面罩），戴化学安全防护眼镜，穿防静电工作服，戴</w:t>
            </w:r>
          </w:p>
        </w:tc>
      </w:tr>
      <w:tr>
        <w:trPr>
          <w:trHeight w:val="232" w:hRule="atLeast"/>
        </w:trPr>
        <w:tc>
          <w:tcPr>
            <w:tcW w:w="742" w:type="dxa"/>
            <w:tcBorders>
              <w:top w:val="nil"/>
              <w:bottom w:val="nil"/>
            </w:tcBorders>
          </w:tcPr>
          <w:p>
            <w:pPr>
              <w:pStyle w:val="TableParagraph"/>
              <w:spacing w:line="212" w:lineRule="exact" w:before="1"/>
              <w:ind w:left="169" w:right="162"/>
              <w:rPr>
                <w:sz w:val="18"/>
              </w:rPr>
            </w:pPr>
            <w:r>
              <w:rPr>
                <w:sz w:val="18"/>
              </w:rPr>
              <w:t>与储</w:t>
            </w:r>
          </w:p>
        </w:tc>
        <w:tc>
          <w:tcPr>
            <w:tcW w:w="8444" w:type="dxa"/>
            <w:tcBorders>
              <w:top w:val="nil"/>
              <w:bottom w:val="nil"/>
            </w:tcBorders>
          </w:tcPr>
          <w:p>
            <w:pPr>
              <w:pStyle w:val="TableParagraph"/>
              <w:spacing w:line="212" w:lineRule="exact" w:before="1"/>
              <w:ind w:left="107"/>
              <w:jc w:val="left"/>
              <w:rPr>
                <w:sz w:val="18"/>
              </w:rPr>
            </w:pPr>
            <w:r>
              <w:rPr>
                <w:sz w:val="18"/>
              </w:rPr>
              <w:t>橡胶手套。远离火种、热源，工作场所严禁吸烟。使用防爆型的通风系统和设备。防止气体泄漏到工作场</w:t>
            </w:r>
          </w:p>
        </w:tc>
      </w:tr>
      <w:tr>
        <w:trPr>
          <w:trHeight w:val="231" w:hRule="atLeast"/>
        </w:trPr>
        <w:tc>
          <w:tcPr>
            <w:tcW w:w="742" w:type="dxa"/>
            <w:tcBorders>
              <w:top w:val="nil"/>
              <w:bottom w:val="nil"/>
            </w:tcBorders>
          </w:tcPr>
          <w:p>
            <w:pPr>
              <w:pStyle w:val="TableParagraph"/>
              <w:spacing w:line="210" w:lineRule="exact" w:before="1"/>
              <w:ind w:left="4"/>
              <w:rPr>
                <w:sz w:val="18"/>
              </w:rPr>
            </w:pPr>
            <w:r>
              <w:rPr>
                <w:sz w:val="18"/>
              </w:rPr>
              <w:t>存</w:t>
            </w:r>
          </w:p>
        </w:tc>
        <w:tc>
          <w:tcPr>
            <w:tcW w:w="8444" w:type="dxa"/>
            <w:tcBorders>
              <w:top w:val="nil"/>
              <w:bottom w:val="nil"/>
            </w:tcBorders>
          </w:tcPr>
          <w:p>
            <w:pPr>
              <w:pStyle w:val="TableParagraph"/>
              <w:spacing w:line="210" w:lineRule="exact" w:before="1"/>
              <w:ind w:left="107"/>
              <w:jc w:val="left"/>
              <w:rPr>
                <w:sz w:val="18"/>
              </w:rPr>
            </w:pPr>
            <w:r>
              <w:rPr>
                <w:spacing w:val="-13"/>
                <w:sz w:val="18"/>
              </w:rPr>
              <w:t>所空气中。搬运时轻装轻卸，防止钢瓶及附件破损。配备相应品种和数量的消防器材及泄漏应急处理设备。</w:t>
            </w:r>
          </w:p>
        </w:tc>
      </w:tr>
      <w:tr>
        <w:trPr>
          <w:trHeight w:val="243" w:hRule="atLeast"/>
        </w:trPr>
        <w:tc>
          <w:tcPr>
            <w:tcW w:w="742" w:type="dxa"/>
            <w:tcBorders>
              <w:top w:val="nil"/>
              <w:bottom w:val="nil"/>
            </w:tcBorders>
          </w:tcPr>
          <w:p>
            <w:pPr>
              <w:pStyle w:val="TableParagraph"/>
              <w:jc w:val="left"/>
              <w:rPr>
                <w:rFonts w:ascii="Times New Roman"/>
                <w:sz w:val="16"/>
              </w:rPr>
            </w:pPr>
          </w:p>
        </w:tc>
        <w:tc>
          <w:tcPr>
            <w:tcW w:w="8444" w:type="dxa"/>
            <w:tcBorders>
              <w:top w:val="nil"/>
              <w:bottom w:val="nil"/>
            </w:tcBorders>
          </w:tcPr>
          <w:p>
            <w:pPr>
              <w:pStyle w:val="TableParagraph"/>
              <w:numPr>
                <w:ilvl w:val="0"/>
                <w:numId w:val="15"/>
              </w:numPr>
              <w:tabs>
                <w:tab w:pos="169" w:val="left" w:leader="none"/>
              </w:tabs>
              <w:spacing w:line="218" w:lineRule="exact" w:before="5" w:after="0"/>
              <w:ind w:left="168" w:right="0" w:hanging="62"/>
              <w:jc w:val="left"/>
              <w:rPr>
                <w:sz w:val="18"/>
              </w:rPr>
            </w:pPr>
            <w:r>
              <w:rPr>
                <w:sz w:val="18"/>
              </w:rPr>
              <w:t>储存注意事项：储存于阴凉、通风的库房。远离火种、热源。禁止使用易产生火花的机械设备和工具。</w:t>
            </w:r>
          </w:p>
        </w:tc>
      </w:tr>
      <w:tr>
        <w:trPr>
          <w:trHeight w:val="226" w:hRule="atLeast"/>
        </w:trPr>
        <w:tc>
          <w:tcPr>
            <w:tcW w:w="742" w:type="dxa"/>
            <w:tcBorders>
              <w:top w:val="nil"/>
            </w:tcBorders>
          </w:tcPr>
          <w:p>
            <w:pPr>
              <w:pStyle w:val="TableParagraph"/>
              <w:jc w:val="left"/>
              <w:rPr>
                <w:rFonts w:ascii="Times New Roman"/>
                <w:sz w:val="16"/>
              </w:rPr>
            </w:pPr>
          </w:p>
        </w:tc>
        <w:tc>
          <w:tcPr>
            <w:tcW w:w="8444" w:type="dxa"/>
            <w:tcBorders>
              <w:top w:val="nil"/>
            </w:tcBorders>
          </w:tcPr>
          <w:p>
            <w:pPr>
              <w:pStyle w:val="TableParagraph"/>
              <w:spacing w:line="207" w:lineRule="exact"/>
              <w:ind w:left="107"/>
              <w:jc w:val="left"/>
              <w:rPr>
                <w:sz w:val="18"/>
              </w:rPr>
            </w:pPr>
            <w:r>
              <w:rPr>
                <w:sz w:val="18"/>
              </w:rPr>
              <w:t>储区应备有泄漏应急处理设备。</w:t>
            </w:r>
          </w:p>
        </w:tc>
      </w:tr>
    </w:tbl>
    <w:p>
      <w:pPr>
        <w:tabs>
          <w:tab w:pos="1478" w:val="left" w:leader="none"/>
        </w:tabs>
        <w:spacing w:line="357" w:lineRule="exact" w:before="0"/>
        <w:ind w:left="0" w:right="1" w:firstLine="0"/>
        <w:jc w:val="center"/>
        <w:rPr>
          <w:b/>
          <w:sz w:val="28"/>
        </w:rPr>
      </w:pPr>
      <w:r>
        <w:rPr>
          <w:b/>
          <w:sz w:val="28"/>
        </w:rPr>
        <w:t>表</w:t>
      </w:r>
      <w:r>
        <w:rPr>
          <w:b/>
          <w:spacing w:val="-70"/>
          <w:sz w:val="28"/>
        </w:rPr>
        <w:t> </w:t>
      </w:r>
      <w:r>
        <w:rPr>
          <w:b/>
          <w:sz w:val="28"/>
        </w:rPr>
        <w:t>3-1-12</w:t>
        <w:tab/>
        <w:t>丙酮理化性质、危险毒性特性识别表</w:t>
      </w:r>
    </w:p>
    <w:p>
      <w:pPr>
        <w:pStyle w:val="BodyText"/>
        <w:spacing w:before="8"/>
        <w:rPr>
          <w:b/>
          <w:sz w:val="1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4090"/>
        <w:gridCol w:w="1872"/>
        <w:gridCol w:w="2482"/>
      </w:tblGrid>
      <w:tr>
        <w:trPr>
          <w:trHeight w:val="234" w:hRule="atLeast"/>
        </w:trPr>
        <w:tc>
          <w:tcPr>
            <w:tcW w:w="742" w:type="dxa"/>
            <w:vMerge w:val="restart"/>
          </w:tcPr>
          <w:p>
            <w:pPr>
              <w:pStyle w:val="TableParagraph"/>
              <w:jc w:val="left"/>
              <w:rPr>
                <w:b/>
                <w:sz w:val="18"/>
              </w:rPr>
            </w:pPr>
          </w:p>
          <w:p>
            <w:pPr>
              <w:pStyle w:val="TableParagraph"/>
              <w:spacing w:before="129"/>
              <w:ind w:left="189"/>
              <w:jc w:val="left"/>
              <w:rPr>
                <w:sz w:val="18"/>
              </w:rPr>
            </w:pPr>
            <w:r>
              <w:rPr>
                <w:sz w:val="18"/>
              </w:rPr>
              <w:t>标识</w:t>
            </w:r>
          </w:p>
        </w:tc>
        <w:tc>
          <w:tcPr>
            <w:tcW w:w="4090" w:type="dxa"/>
          </w:tcPr>
          <w:p>
            <w:pPr>
              <w:pStyle w:val="TableParagraph"/>
              <w:spacing w:line="215" w:lineRule="exact"/>
              <w:ind w:left="8"/>
              <w:rPr>
                <w:sz w:val="18"/>
              </w:rPr>
            </w:pPr>
            <w:r>
              <w:rPr>
                <w:sz w:val="18"/>
              </w:rPr>
              <w:t>中文名：丙酮</w:t>
            </w:r>
          </w:p>
        </w:tc>
        <w:tc>
          <w:tcPr>
            <w:tcW w:w="4354" w:type="dxa"/>
            <w:gridSpan w:val="2"/>
          </w:tcPr>
          <w:p>
            <w:pPr>
              <w:pStyle w:val="TableParagraph"/>
              <w:spacing w:line="215" w:lineRule="exact"/>
              <w:ind w:left="1521" w:right="1513"/>
              <w:rPr>
                <w:rFonts w:ascii="Times New Roman" w:eastAsia="Times New Roman"/>
                <w:sz w:val="18"/>
              </w:rPr>
            </w:pPr>
            <w:r>
              <w:rPr>
                <w:sz w:val="18"/>
              </w:rPr>
              <w:t>英文名：</w:t>
            </w:r>
            <w:r>
              <w:rPr>
                <w:rFonts w:ascii="Times New Roman" w:eastAsia="Times New Roman"/>
                <w:sz w:val="18"/>
              </w:rPr>
              <w:t>acetone</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8"/>
              <w:rPr>
                <w:rFonts w:ascii="Times New Roman" w:eastAsia="Times New Roman"/>
                <w:sz w:val="18"/>
              </w:rPr>
            </w:pPr>
            <w:r>
              <w:rPr>
                <w:sz w:val="18"/>
              </w:rPr>
              <w:t>分子式：</w:t>
            </w:r>
            <w:r>
              <w:rPr>
                <w:rFonts w:ascii="Times New Roman" w:eastAsia="Times New Roman"/>
                <w:sz w:val="18"/>
              </w:rPr>
              <w:t>C3H6O</w:t>
            </w:r>
          </w:p>
        </w:tc>
        <w:tc>
          <w:tcPr>
            <w:tcW w:w="1872" w:type="dxa"/>
          </w:tcPr>
          <w:p>
            <w:pPr>
              <w:pStyle w:val="TableParagraph"/>
              <w:spacing w:line="212" w:lineRule="exact"/>
              <w:ind w:left="352" w:right="345"/>
              <w:rPr>
                <w:rFonts w:ascii="Times New Roman" w:eastAsia="Times New Roman"/>
                <w:sz w:val="18"/>
              </w:rPr>
            </w:pPr>
            <w:r>
              <w:rPr>
                <w:sz w:val="18"/>
              </w:rPr>
              <w:t>分子量：</w:t>
            </w:r>
            <w:r>
              <w:rPr>
                <w:rFonts w:ascii="Times New Roman" w:eastAsia="Times New Roman"/>
                <w:sz w:val="18"/>
              </w:rPr>
              <w:t>58.08</w:t>
            </w:r>
          </w:p>
        </w:tc>
        <w:tc>
          <w:tcPr>
            <w:tcW w:w="2482" w:type="dxa"/>
          </w:tcPr>
          <w:p>
            <w:pPr>
              <w:pStyle w:val="TableParagraph"/>
              <w:spacing w:line="212" w:lineRule="exact"/>
              <w:ind w:left="555" w:right="550"/>
              <w:rPr>
                <w:rFonts w:ascii="Times New Roman" w:eastAsia="Times New Roman"/>
                <w:sz w:val="18"/>
              </w:rPr>
            </w:pPr>
            <w:r>
              <w:rPr>
                <w:rFonts w:ascii="Times New Roman" w:eastAsia="Times New Roman"/>
                <w:sz w:val="18"/>
              </w:rPr>
              <w:t>UN </w:t>
            </w:r>
            <w:r>
              <w:rPr>
                <w:sz w:val="18"/>
              </w:rPr>
              <w:t>编号：</w:t>
            </w:r>
            <w:r>
              <w:rPr>
                <w:rFonts w:ascii="Times New Roman" w:eastAsia="Times New Roman"/>
                <w:sz w:val="18"/>
              </w:rPr>
              <w:t>1090</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9"/>
              <w:rPr>
                <w:rFonts w:ascii="Times New Roman" w:eastAsia="Times New Roman"/>
                <w:sz w:val="18"/>
              </w:rPr>
            </w:pPr>
            <w:r>
              <w:rPr>
                <w:sz w:val="18"/>
              </w:rPr>
              <w:t>危规号：</w:t>
            </w:r>
            <w:r>
              <w:rPr>
                <w:rFonts w:ascii="Times New Roman" w:eastAsia="Times New Roman"/>
                <w:sz w:val="18"/>
              </w:rPr>
              <w:t>31025</w:t>
            </w:r>
          </w:p>
        </w:tc>
        <w:tc>
          <w:tcPr>
            <w:tcW w:w="1872" w:type="dxa"/>
          </w:tcPr>
          <w:p>
            <w:pPr>
              <w:pStyle w:val="TableParagraph"/>
              <w:spacing w:line="215" w:lineRule="exact"/>
              <w:ind w:left="348" w:right="345"/>
              <w:rPr>
                <w:sz w:val="18"/>
              </w:rPr>
            </w:pPr>
            <w:r>
              <w:rPr>
                <w:rFonts w:ascii="Times New Roman" w:eastAsia="Times New Roman"/>
                <w:sz w:val="18"/>
              </w:rPr>
              <w:t>RTECS </w:t>
            </w:r>
            <w:r>
              <w:rPr>
                <w:sz w:val="18"/>
              </w:rPr>
              <w:t>号：</w:t>
            </w:r>
          </w:p>
        </w:tc>
        <w:tc>
          <w:tcPr>
            <w:tcW w:w="2482" w:type="dxa"/>
          </w:tcPr>
          <w:p>
            <w:pPr>
              <w:pStyle w:val="TableParagraph"/>
              <w:spacing w:line="215" w:lineRule="exact"/>
              <w:ind w:left="555" w:right="551"/>
              <w:rPr>
                <w:rFonts w:ascii="Times New Roman" w:eastAsia="Times New Roman"/>
                <w:sz w:val="18"/>
              </w:rPr>
            </w:pPr>
            <w:r>
              <w:rPr>
                <w:rFonts w:ascii="Times New Roman" w:eastAsia="Times New Roman"/>
                <w:sz w:val="18"/>
              </w:rPr>
              <w:t>CAS </w:t>
            </w:r>
            <w:r>
              <w:rPr>
                <w:sz w:val="18"/>
              </w:rPr>
              <w:t>号：</w:t>
            </w:r>
            <w:r>
              <w:rPr>
                <w:rFonts w:ascii="Times New Roman" w:eastAsia="Times New Roman"/>
                <w:sz w:val="18"/>
              </w:rPr>
              <w:t>67-64-1</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6"/>
              <w:rPr>
                <w:sz w:val="18"/>
              </w:rPr>
            </w:pPr>
            <w:r>
              <w:rPr>
                <w:sz w:val="18"/>
              </w:rPr>
              <w:t>危险性类别：第 </w:t>
            </w:r>
            <w:r>
              <w:rPr>
                <w:rFonts w:ascii="Times New Roman" w:eastAsia="Times New Roman"/>
                <w:sz w:val="18"/>
              </w:rPr>
              <w:t>3.1 </w:t>
            </w:r>
            <w:r>
              <w:rPr>
                <w:sz w:val="18"/>
              </w:rPr>
              <w:t>类低闪点易燃液体</w:t>
            </w:r>
          </w:p>
        </w:tc>
        <w:tc>
          <w:tcPr>
            <w:tcW w:w="4354" w:type="dxa"/>
            <w:gridSpan w:val="2"/>
          </w:tcPr>
          <w:p>
            <w:pPr>
              <w:pStyle w:val="TableParagraph"/>
              <w:spacing w:line="212" w:lineRule="exact"/>
              <w:ind w:left="1518" w:right="1513"/>
              <w:rPr>
                <w:sz w:val="18"/>
              </w:rPr>
            </w:pPr>
            <w:r>
              <w:rPr>
                <w:sz w:val="18"/>
              </w:rPr>
              <w:t>化学类别：</w:t>
            </w:r>
          </w:p>
        </w:tc>
      </w:tr>
      <w:tr>
        <w:trPr>
          <w:trHeight w:val="234" w:hRule="atLeast"/>
        </w:trPr>
        <w:tc>
          <w:tcPr>
            <w:tcW w:w="742" w:type="dxa"/>
            <w:vMerge w:val="restart"/>
          </w:tcPr>
          <w:p>
            <w:pPr>
              <w:pStyle w:val="TableParagraph"/>
              <w:jc w:val="left"/>
              <w:rPr>
                <w:b/>
                <w:sz w:val="18"/>
              </w:rPr>
            </w:pPr>
          </w:p>
          <w:p>
            <w:pPr>
              <w:pStyle w:val="TableParagraph"/>
              <w:spacing w:before="10"/>
              <w:jc w:val="left"/>
              <w:rPr>
                <w:b/>
                <w:sz w:val="19"/>
              </w:rPr>
            </w:pPr>
          </w:p>
          <w:p>
            <w:pPr>
              <w:pStyle w:val="TableParagraph"/>
              <w:spacing w:line="242" w:lineRule="auto"/>
              <w:ind w:left="189" w:right="180"/>
              <w:jc w:val="left"/>
              <w:rPr>
                <w:sz w:val="18"/>
              </w:rPr>
            </w:pPr>
            <w:r>
              <w:rPr>
                <w:sz w:val="18"/>
              </w:rPr>
              <w:t>理化性质</w:t>
            </w:r>
          </w:p>
        </w:tc>
        <w:tc>
          <w:tcPr>
            <w:tcW w:w="8444" w:type="dxa"/>
            <w:gridSpan w:val="3"/>
          </w:tcPr>
          <w:p>
            <w:pPr>
              <w:pStyle w:val="TableParagraph"/>
              <w:spacing w:line="215" w:lineRule="exact"/>
              <w:ind w:left="1047" w:right="1044"/>
              <w:rPr>
                <w:sz w:val="18"/>
              </w:rPr>
            </w:pPr>
            <w:r>
              <w:rPr>
                <w:sz w:val="18"/>
              </w:rPr>
              <w:t>性状：无色透明易流动液体，有芳香气味，极易挥发。</w:t>
            </w:r>
          </w:p>
        </w:tc>
      </w:tr>
      <w:tr>
        <w:trPr>
          <w:trHeight w:val="232" w:hRule="atLeast"/>
        </w:trPr>
        <w:tc>
          <w:tcPr>
            <w:tcW w:w="742" w:type="dxa"/>
            <w:vMerge/>
            <w:tcBorders>
              <w:top w:val="nil"/>
            </w:tcBorders>
          </w:tcPr>
          <w:p>
            <w:pPr>
              <w:rPr>
                <w:sz w:val="2"/>
                <w:szCs w:val="2"/>
              </w:rPr>
            </w:pPr>
          </w:p>
        </w:tc>
        <w:tc>
          <w:tcPr>
            <w:tcW w:w="8444" w:type="dxa"/>
            <w:gridSpan w:val="3"/>
          </w:tcPr>
          <w:p>
            <w:pPr>
              <w:pStyle w:val="TableParagraph"/>
              <w:spacing w:line="212" w:lineRule="exact"/>
              <w:ind w:left="1049" w:right="1044"/>
              <w:rPr>
                <w:sz w:val="18"/>
              </w:rPr>
            </w:pPr>
            <w:r>
              <w:rPr>
                <w:sz w:val="18"/>
              </w:rPr>
              <w:t>溶解性：与水混溶，可混溶于乙醇、乙醚、氯仿、油类、烃类等多数有机溶剂。</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7"/>
              <w:rPr>
                <w:rFonts w:ascii="Times New Roman" w:hAnsi="Times New Roman" w:eastAsia="Times New Roman"/>
                <w:sz w:val="18"/>
              </w:rPr>
            </w:pPr>
            <w:r>
              <w:rPr>
                <w:sz w:val="18"/>
              </w:rPr>
              <w:t>熔点</w:t>
            </w:r>
            <w:r>
              <w:rPr>
                <w:rFonts w:ascii="Times New Roman" w:hAnsi="Times New Roman" w:eastAsia="Times New Roman"/>
                <w:sz w:val="18"/>
              </w:rPr>
              <w:t>/</w:t>
            </w:r>
            <w:r>
              <w:rPr>
                <w:sz w:val="18"/>
              </w:rPr>
              <w:t>℃：</w:t>
            </w:r>
            <w:r>
              <w:rPr>
                <w:rFonts w:ascii="Times New Roman" w:hAnsi="Times New Roman" w:eastAsia="Times New Roman"/>
                <w:sz w:val="18"/>
              </w:rPr>
              <w:t>-94.6</w:t>
            </w:r>
          </w:p>
        </w:tc>
        <w:tc>
          <w:tcPr>
            <w:tcW w:w="4354" w:type="dxa"/>
            <w:gridSpan w:val="2"/>
          </w:tcPr>
          <w:p>
            <w:pPr>
              <w:pStyle w:val="TableParagraph"/>
              <w:spacing w:line="212" w:lineRule="exact"/>
              <w:ind w:left="1160"/>
              <w:jc w:val="left"/>
              <w:rPr>
                <w:rFonts w:ascii="Times New Roman" w:eastAsia="Times New Roman"/>
                <w:sz w:val="18"/>
              </w:rPr>
            </w:pPr>
            <w:r>
              <w:rPr>
                <w:sz w:val="18"/>
              </w:rPr>
              <w:t>相对密度（水＝</w:t>
            </w:r>
            <w:r>
              <w:rPr>
                <w:rFonts w:ascii="Times New Roman" w:eastAsia="Times New Roman"/>
                <w:sz w:val="18"/>
              </w:rPr>
              <w:t>1</w:t>
            </w:r>
            <w:r>
              <w:rPr>
                <w:sz w:val="18"/>
              </w:rPr>
              <w:t>）：</w:t>
            </w:r>
            <w:r>
              <w:rPr>
                <w:rFonts w:ascii="Times New Roman" w:eastAsia="Times New Roman"/>
                <w:sz w:val="18"/>
              </w:rPr>
              <w:t>0.80</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9"/>
              <w:rPr>
                <w:rFonts w:ascii="Times New Roman" w:hAnsi="Times New Roman" w:eastAsia="Times New Roman"/>
                <w:sz w:val="18"/>
              </w:rPr>
            </w:pPr>
            <w:r>
              <w:rPr>
                <w:sz w:val="18"/>
              </w:rPr>
              <w:t>沸点</w:t>
            </w:r>
            <w:r>
              <w:rPr>
                <w:rFonts w:ascii="Times New Roman" w:hAnsi="Times New Roman" w:eastAsia="Times New Roman"/>
                <w:sz w:val="18"/>
              </w:rPr>
              <w:t>/</w:t>
            </w:r>
            <w:r>
              <w:rPr>
                <w:sz w:val="18"/>
              </w:rPr>
              <w:t>℃：</w:t>
            </w:r>
            <w:r>
              <w:rPr>
                <w:rFonts w:ascii="Times New Roman" w:hAnsi="Times New Roman" w:eastAsia="Times New Roman"/>
                <w:sz w:val="18"/>
              </w:rPr>
              <w:t>56.5</w:t>
            </w:r>
          </w:p>
        </w:tc>
        <w:tc>
          <w:tcPr>
            <w:tcW w:w="4354" w:type="dxa"/>
            <w:gridSpan w:val="2"/>
          </w:tcPr>
          <w:p>
            <w:pPr>
              <w:pStyle w:val="TableParagraph"/>
              <w:spacing w:line="215" w:lineRule="exact"/>
              <w:ind w:left="1228"/>
              <w:jc w:val="left"/>
              <w:rPr>
                <w:sz w:val="18"/>
              </w:rPr>
            </w:pPr>
            <w:r>
              <w:rPr>
                <w:sz w:val="18"/>
              </w:rPr>
              <w:t>相对密度（空气＝</w:t>
            </w:r>
            <w:r>
              <w:rPr>
                <w:rFonts w:ascii="Times New Roman" w:eastAsia="Times New Roman"/>
                <w:sz w:val="18"/>
              </w:rPr>
              <w:t>1</w:t>
            </w:r>
            <w:r>
              <w:rPr>
                <w:sz w:val="18"/>
              </w:rPr>
              <w:t>）：</w:t>
            </w:r>
          </w:p>
        </w:tc>
      </w:tr>
      <w:tr>
        <w:trPr>
          <w:trHeight w:val="232" w:hRule="atLeast"/>
        </w:trPr>
        <w:tc>
          <w:tcPr>
            <w:tcW w:w="742" w:type="dxa"/>
            <w:vMerge/>
            <w:tcBorders>
              <w:top w:val="nil"/>
            </w:tcBorders>
          </w:tcPr>
          <w:p>
            <w:pPr>
              <w:rPr>
                <w:sz w:val="2"/>
                <w:szCs w:val="2"/>
              </w:rPr>
            </w:pPr>
          </w:p>
        </w:tc>
        <w:tc>
          <w:tcPr>
            <w:tcW w:w="4090" w:type="dxa"/>
          </w:tcPr>
          <w:p>
            <w:pPr>
              <w:pStyle w:val="TableParagraph"/>
              <w:spacing w:line="212" w:lineRule="exact"/>
              <w:ind w:left="6"/>
              <w:rPr>
                <w:sz w:val="18"/>
              </w:rPr>
            </w:pPr>
            <w:r>
              <w:rPr>
                <w:sz w:val="18"/>
              </w:rPr>
              <w:t>临界温度</w:t>
            </w:r>
            <w:r>
              <w:rPr>
                <w:rFonts w:ascii="Times New Roman" w:hAnsi="Times New Roman" w:eastAsia="Times New Roman"/>
                <w:sz w:val="18"/>
              </w:rPr>
              <w:t>/</w:t>
            </w:r>
            <w:r>
              <w:rPr>
                <w:sz w:val="18"/>
              </w:rPr>
              <w:t>℃：</w:t>
            </w:r>
          </w:p>
        </w:tc>
        <w:tc>
          <w:tcPr>
            <w:tcW w:w="4354" w:type="dxa"/>
            <w:gridSpan w:val="2"/>
          </w:tcPr>
          <w:p>
            <w:pPr>
              <w:pStyle w:val="TableParagraph"/>
              <w:spacing w:line="212" w:lineRule="exact"/>
              <w:ind w:left="1043"/>
              <w:jc w:val="left"/>
              <w:rPr>
                <w:sz w:val="18"/>
              </w:rPr>
            </w:pPr>
            <w:r>
              <w:rPr>
                <w:sz w:val="18"/>
              </w:rPr>
              <w:t>燃烧热（</w:t>
            </w:r>
            <w:r>
              <w:rPr>
                <w:rFonts w:ascii="Times New Roman" w:hAnsi="Times New Roman" w:eastAsia="Times New Roman"/>
                <w:sz w:val="18"/>
              </w:rPr>
              <w:t>KJ·mol</w:t>
            </w:r>
            <w:r>
              <w:rPr>
                <w:rFonts w:ascii="Times New Roman" w:hAnsi="Times New Roman" w:eastAsia="Times New Roman"/>
                <w:sz w:val="18"/>
                <w:vertAlign w:val="superscript"/>
              </w:rPr>
              <w:t>-1</w:t>
            </w:r>
            <w:r>
              <w:rPr>
                <w:sz w:val="18"/>
                <w:vertAlign w:val="baseline"/>
              </w:rPr>
              <w:t>）：无资料</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6"/>
              <w:rPr>
                <w:sz w:val="18"/>
              </w:rPr>
            </w:pPr>
            <w:r>
              <w:rPr>
                <w:sz w:val="18"/>
              </w:rPr>
              <w:t>临界压力</w:t>
            </w:r>
            <w:r>
              <w:rPr>
                <w:rFonts w:ascii="Times New Roman" w:eastAsia="Times New Roman"/>
                <w:sz w:val="18"/>
              </w:rPr>
              <w:t>/Mpa</w:t>
            </w:r>
            <w:r>
              <w:rPr>
                <w:sz w:val="18"/>
              </w:rPr>
              <w:t>：</w:t>
            </w:r>
          </w:p>
        </w:tc>
        <w:tc>
          <w:tcPr>
            <w:tcW w:w="4354" w:type="dxa"/>
            <w:gridSpan w:val="2"/>
          </w:tcPr>
          <w:p>
            <w:pPr>
              <w:pStyle w:val="TableParagraph"/>
              <w:spacing w:line="215" w:lineRule="exact"/>
              <w:ind w:left="1235"/>
              <w:jc w:val="left"/>
              <w:rPr>
                <w:sz w:val="18"/>
              </w:rPr>
            </w:pPr>
            <w:r>
              <w:rPr>
                <w:sz w:val="18"/>
              </w:rPr>
              <w:t>最小点火能</w:t>
            </w:r>
            <w:r>
              <w:rPr>
                <w:rFonts w:ascii="Times New Roman" w:eastAsia="Times New Roman"/>
                <w:sz w:val="18"/>
              </w:rPr>
              <w:t>/mJ</w:t>
            </w:r>
            <w:r>
              <w:rPr>
                <w:sz w:val="18"/>
              </w:rPr>
              <w:t>：无资料</w:t>
            </w:r>
          </w:p>
        </w:tc>
      </w:tr>
      <w:tr>
        <w:trPr>
          <w:trHeight w:val="232" w:hRule="atLeast"/>
        </w:trPr>
        <w:tc>
          <w:tcPr>
            <w:tcW w:w="742" w:type="dxa"/>
            <w:vMerge w:val="restart"/>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4"/>
              <w:jc w:val="left"/>
              <w:rPr>
                <w:b/>
                <w:sz w:val="20"/>
              </w:rPr>
            </w:pPr>
          </w:p>
          <w:p>
            <w:pPr>
              <w:pStyle w:val="TableParagraph"/>
              <w:spacing w:line="242" w:lineRule="auto"/>
              <w:ind w:left="189" w:right="180"/>
              <w:jc w:val="both"/>
              <w:rPr>
                <w:sz w:val="18"/>
              </w:rPr>
            </w:pPr>
            <w:r>
              <w:rPr>
                <w:sz w:val="18"/>
              </w:rPr>
              <w:t>燃烧爆炸危险性</w:t>
            </w:r>
          </w:p>
        </w:tc>
        <w:tc>
          <w:tcPr>
            <w:tcW w:w="4090" w:type="dxa"/>
          </w:tcPr>
          <w:p>
            <w:pPr>
              <w:pStyle w:val="TableParagraph"/>
              <w:spacing w:line="212" w:lineRule="exact"/>
              <w:ind w:left="6"/>
              <w:rPr>
                <w:sz w:val="18"/>
              </w:rPr>
            </w:pPr>
            <w:r>
              <w:rPr>
                <w:sz w:val="18"/>
              </w:rPr>
              <w:t>燃烧性：本品易燃，有毒，具刺激性。</w:t>
            </w:r>
          </w:p>
        </w:tc>
        <w:tc>
          <w:tcPr>
            <w:tcW w:w="4354" w:type="dxa"/>
            <w:gridSpan w:val="2"/>
          </w:tcPr>
          <w:p>
            <w:pPr>
              <w:pStyle w:val="TableParagraph"/>
              <w:spacing w:line="212" w:lineRule="exact"/>
              <w:ind w:left="644"/>
              <w:jc w:val="left"/>
              <w:rPr>
                <w:sz w:val="18"/>
              </w:rPr>
            </w:pPr>
            <w:r>
              <w:rPr>
                <w:sz w:val="18"/>
              </w:rPr>
              <w:t>燃烧分解产物：一氧化碳、二氧化碳。</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7"/>
              <w:rPr>
                <w:rFonts w:ascii="Times New Roman" w:hAnsi="Times New Roman" w:eastAsia="Times New Roman"/>
                <w:sz w:val="18"/>
              </w:rPr>
            </w:pPr>
            <w:r>
              <w:rPr>
                <w:sz w:val="18"/>
              </w:rPr>
              <w:t>闪点</w:t>
            </w:r>
            <w:r>
              <w:rPr>
                <w:rFonts w:ascii="Times New Roman" w:hAnsi="Times New Roman" w:eastAsia="Times New Roman"/>
                <w:sz w:val="18"/>
              </w:rPr>
              <w:t>/</w:t>
            </w:r>
            <w:r>
              <w:rPr>
                <w:sz w:val="18"/>
              </w:rPr>
              <w:t>℃：</w:t>
            </w:r>
            <w:r>
              <w:rPr>
                <w:rFonts w:ascii="Times New Roman" w:hAnsi="Times New Roman" w:eastAsia="Times New Roman"/>
                <w:sz w:val="18"/>
              </w:rPr>
              <w:t>-20</w:t>
            </w:r>
          </w:p>
        </w:tc>
        <w:tc>
          <w:tcPr>
            <w:tcW w:w="4354" w:type="dxa"/>
            <w:gridSpan w:val="2"/>
          </w:tcPr>
          <w:p>
            <w:pPr>
              <w:pStyle w:val="TableParagraph"/>
              <w:spacing w:line="215" w:lineRule="exact"/>
              <w:ind w:left="1518" w:right="1513"/>
              <w:rPr>
                <w:sz w:val="18"/>
              </w:rPr>
            </w:pPr>
            <w:r>
              <w:rPr>
                <w:sz w:val="18"/>
              </w:rPr>
              <w:t>聚合危害：</w:t>
            </w:r>
          </w:p>
        </w:tc>
      </w:tr>
      <w:tr>
        <w:trPr>
          <w:trHeight w:val="465" w:hRule="atLeast"/>
        </w:trPr>
        <w:tc>
          <w:tcPr>
            <w:tcW w:w="742" w:type="dxa"/>
            <w:vMerge/>
            <w:tcBorders>
              <w:top w:val="nil"/>
            </w:tcBorders>
          </w:tcPr>
          <w:p>
            <w:pPr>
              <w:rPr>
                <w:sz w:val="2"/>
                <w:szCs w:val="2"/>
              </w:rPr>
            </w:pPr>
          </w:p>
        </w:tc>
        <w:tc>
          <w:tcPr>
            <w:tcW w:w="4090" w:type="dxa"/>
          </w:tcPr>
          <w:p>
            <w:pPr>
              <w:pStyle w:val="TableParagraph"/>
              <w:tabs>
                <w:tab w:pos="3066" w:val="left" w:leader="none"/>
              </w:tabs>
              <w:ind w:left="10"/>
              <w:rPr>
                <w:sz w:val="18"/>
              </w:rPr>
            </w:pPr>
            <w:r>
              <w:rPr>
                <w:sz w:val="18"/>
              </w:rPr>
              <w:t>爆炸极限爆炸上限</w:t>
            </w:r>
            <w:r>
              <w:rPr>
                <w:rFonts w:ascii="Times New Roman" w:eastAsia="Times New Roman"/>
                <w:sz w:val="18"/>
              </w:rPr>
              <w:t>%(V/V)</w:t>
            </w:r>
            <w:r>
              <w:rPr>
                <w:sz w:val="18"/>
              </w:rPr>
              <w:t>：</w:t>
            </w:r>
            <w:r>
              <w:rPr>
                <w:rFonts w:ascii="Times New Roman" w:eastAsia="Times New Roman"/>
                <w:sz w:val="18"/>
              </w:rPr>
              <w:t>13.0</w:t>
              <w:tab/>
            </w:r>
            <w:r>
              <w:rPr>
                <w:sz w:val="18"/>
              </w:rPr>
              <w:t>爆炸下限</w:t>
            </w:r>
          </w:p>
          <w:p>
            <w:pPr>
              <w:pStyle w:val="TableParagraph"/>
              <w:spacing w:line="213" w:lineRule="exact" w:before="2"/>
              <w:ind w:left="9"/>
              <w:rPr>
                <w:rFonts w:ascii="Times New Roman" w:eastAsia="Times New Roman"/>
                <w:sz w:val="18"/>
              </w:rPr>
            </w:pPr>
            <w:r>
              <w:rPr>
                <w:rFonts w:ascii="Times New Roman" w:eastAsia="Times New Roman"/>
                <w:sz w:val="18"/>
              </w:rPr>
              <w:t>%(V/V)</w:t>
            </w:r>
            <w:r>
              <w:rPr>
                <w:sz w:val="18"/>
              </w:rPr>
              <w:t>：</w:t>
            </w:r>
            <w:r>
              <w:rPr>
                <w:rFonts w:ascii="Times New Roman" w:eastAsia="Times New Roman"/>
                <w:sz w:val="18"/>
              </w:rPr>
              <w:t>2.5</w:t>
            </w:r>
          </w:p>
        </w:tc>
        <w:tc>
          <w:tcPr>
            <w:tcW w:w="4354" w:type="dxa"/>
            <w:gridSpan w:val="2"/>
          </w:tcPr>
          <w:p>
            <w:pPr>
              <w:pStyle w:val="TableParagraph"/>
              <w:ind w:left="1516" w:right="1513"/>
              <w:rPr>
                <w:sz w:val="18"/>
              </w:rPr>
            </w:pPr>
            <w:r>
              <w:rPr>
                <w:sz w:val="18"/>
              </w:rPr>
              <w:t>稳定性：稳定</w:t>
            </w:r>
          </w:p>
        </w:tc>
      </w:tr>
      <w:tr>
        <w:trPr>
          <w:trHeight w:val="234" w:hRule="atLeast"/>
        </w:trPr>
        <w:tc>
          <w:tcPr>
            <w:tcW w:w="742" w:type="dxa"/>
            <w:vMerge/>
            <w:tcBorders>
              <w:top w:val="nil"/>
            </w:tcBorders>
          </w:tcPr>
          <w:p>
            <w:pPr>
              <w:rPr>
                <w:sz w:val="2"/>
                <w:szCs w:val="2"/>
              </w:rPr>
            </w:pPr>
          </w:p>
        </w:tc>
        <w:tc>
          <w:tcPr>
            <w:tcW w:w="4090" w:type="dxa"/>
          </w:tcPr>
          <w:p>
            <w:pPr>
              <w:pStyle w:val="TableParagraph"/>
              <w:spacing w:line="215" w:lineRule="exact"/>
              <w:ind w:left="8"/>
              <w:rPr>
                <w:rFonts w:ascii="Times New Roman" w:hAnsi="Times New Roman" w:eastAsia="Times New Roman"/>
                <w:sz w:val="18"/>
              </w:rPr>
            </w:pPr>
            <w:r>
              <w:rPr>
                <w:sz w:val="18"/>
              </w:rPr>
              <w:t>引燃温度</w:t>
            </w:r>
            <w:r>
              <w:rPr>
                <w:rFonts w:ascii="Times New Roman" w:hAnsi="Times New Roman" w:eastAsia="Times New Roman"/>
                <w:sz w:val="18"/>
              </w:rPr>
              <w:t>/</w:t>
            </w:r>
            <w:r>
              <w:rPr>
                <w:sz w:val="18"/>
              </w:rPr>
              <w:t>℃：</w:t>
            </w:r>
            <w:r>
              <w:rPr>
                <w:rFonts w:ascii="Times New Roman" w:hAnsi="Times New Roman" w:eastAsia="Times New Roman"/>
                <w:sz w:val="18"/>
              </w:rPr>
              <w:t>465</w:t>
            </w:r>
          </w:p>
        </w:tc>
        <w:tc>
          <w:tcPr>
            <w:tcW w:w="4354" w:type="dxa"/>
            <w:gridSpan w:val="2"/>
          </w:tcPr>
          <w:p>
            <w:pPr>
              <w:pStyle w:val="TableParagraph"/>
              <w:spacing w:line="215" w:lineRule="exact"/>
              <w:ind w:left="1004"/>
              <w:jc w:val="left"/>
              <w:rPr>
                <w:sz w:val="18"/>
              </w:rPr>
            </w:pPr>
            <w:r>
              <w:rPr>
                <w:sz w:val="18"/>
              </w:rPr>
              <w:t>禁忌物：强氧化剂、强还原剂、碱</w:t>
            </w:r>
          </w:p>
        </w:tc>
      </w:tr>
      <w:tr>
        <w:trPr>
          <w:trHeight w:val="700" w:hRule="atLeast"/>
        </w:trPr>
        <w:tc>
          <w:tcPr>
            <w:tcW w:w="742" w:type="dxa"/>
            <w:vMerge/>
            <w:tcBorders>
              <w:top w:val="nil"/>
            </w:tcBorders>
          </w:tcPr>
          <w:p>
            <w:pPr>
              <w:rPr>
                <w:sz w:val="2"/>
                <w:szCs w:val="2"/>
              </w:rPr>
            </w:pPr>
          </w:p>
        </w:tc>
        <w:tc>
          <w:tcPr>
            <w:tcW w:w="8444" w:type="dxa"/>
            <w:gridSpan w:val="3"/>
          </w:tcPr>
          <w:p>
            <w:pPr>
              <w:pStyle w:val="TableParagraph"/>
              <w:spacing w:line="242" w:lineRule="auto"/>
              <w:ind w:left="107" w:right="94"/>
              <w:jc w:val="left"/>
              <w:rPr>
                <w:sz w:val="18"/>
              </w:rPr>
            </w:pPr>
            <w:r>
              <w:rPr>
                <w:spacing w:val="-7"/>
                <w:sz w:val="18"/>
              </w:rPr>
              <w:t>危险特性：其蒸气与空气形成爆炸性混合物，遇明火、高热极易燃烧爆炸。与氧化剂能发生强烈反应。其蒸气比空气重，能在较低处扩散到相当远的地方，遇火源引着回燃。若遇高热，容器内压增大，有开裂和</w:t>
            </w:r>
          </w:p>
          <w:p>
            <w:pPr>
              <w:pStyle w:val="TableParagraph"/>
              <w:spacing w:line="215" w:lineRule="exact"/>
              <w:ind w:left="107"/>
              <w:jc w:val="left"/>
              <w:rPr>
                <w:sz w:val="18"/>
              </w:rPr>
            </w:pPr>
            <w:r>
              <w:rPr>
                <w:sz w:val="18"/>
              </w:rPr>
              <w:t>爆炸的危险。</w:t>
            </w:r>
          </w:p>
        </w:tc>
      </w:tr>
      <w:tr>
        <w:trPr>
          <w:trHeight w:val="933" w:hRule="atLeast"/>
        </w:trPr>
        <w:tc>
          <w:tcPr>
            <w:tcW w:w="742" w:type="dxa"/>
            <w:vMerge/>
            <w:tcBorders>
              <w:top w:val="nil"/>
            </w:tcBorders>
          </w:tcPr>
          <w:p>
            <w:pPr>
              <w:rPr>
                <w:sz w:val="2"/>
                <w:szCs w:val="2"/>
              </w:rPr>
            </w:pPr>
          </w:p>
        </w:tc>
        <w:tc>
          <w:tcPr>
            <w:tcW w:w="8444" w:type="dxa"/>
            <w:gridSpan w:val="3"/>
          </w:tcPr>
          <w:p>
            <w:pPr>
              <w:pStyle w:val="TableParagraph"/>
              <w:spacing w:line="242" w:lineRule="auto"/>
              <w:ind w:left="107" w:right="94"/>
              <w:jc w:val="both"/>
              <w:rPr>
                <w:sz w:val="18"/>
              </w:rPr>
            </w:pPr>
            <w:r>
              <w:rPr>
                <w:spacing w:val="-1"/>
                <w:sz w:val="18"/>
              </w:rPr>
              <w:t>灭火方法：泡沫、二氧化碳、干粉、砂土。用水灭火无效。如果该物质或被污染的流 体进入水路，通知</w:t>
            </w:r>
            <w:r>
              <w:rPr>
                <w:spacing w:val="-6"/>
                <w:sz w:val="18"/>
              </w:rPr>
              <w:t>有潜在水体污染的下游用户，通知地方卫生、消防官员和污染控制部门。在安全防爆距离以外，使用雾状</w:t>
            </w:r>
            <w:r>
              <w:rPr>
                <w:sz w:val="18"/>
              </w:rPr>
              <w:t>水冷却暴露的容器。若冷却水流不起作用</w:t>
            </w:r>
            <w:r>
              <w:rPr>
                <w:rFonts w:ascii="Times New Roman" w:eastAsia="Times New Roman"/>
                <w:sz w:val="18"/>
              </w:rPr>
              <w:t>(</w:t>
            </w:r>
            <w:r>
              <w:rPr>
                <w:sz w:val="18"/>
              </w:rPr>
              <w:t>排放音量、音调升高，罐体变色或有任何变形的迹象</w:t>
            </w:r>
            <w:r>
              <w:rPr>
                <w:rFonts w:ascii="Times New Roman" w:eastAsia="Times New Roman"/>
                <w:sz w:val="18"/>
              </w:rPr>
              <w:t>)</w:t>
            </w:r>
            <w:r>
              <w:rPr>
                <w:spacing w:val="-3"/>
                <w:sz w:val="18"/>
              </w:rPr>
              <w:t>，立即撤</w:t>
            </w:r>
          </w:p>
          <w:p>
            <w:pPr>
              <w:pStyle w:val="TableParagraph"/>
              <w:spacing w:line="215" w:lineRule="exact"/>
              <w:ind w:left="107"/>
              <w:jc w:val="left"/>
              <w:rPr>
                <w:sz w:val="18"/>
              </w:rPr>
            </w:pPr>
            <w:r>
              <w:rPr>
                <w:sz w:val="18"/>
              </w:rPr>
              <w:t>离到安全区域。</w:t>
            </w:r>
          </w:p>
        </w:tc>
      </w:tr>
      <w:tr>
        <w:trPr>
          <w:trHeight w:val="232" w:hRule="atLeast"/>
        </w:trPr>
        <w:tc>
          <w:tcPr>
            <w:tcW w:w="742" w:type="dxa"/>
          </w:tcPr>
          <w:p>
            <w:pPr>
              <w:pStyle w:val="TableParagraph"/>
              <w:spacing w:line="212" w:lineRule="exact"/>
              <w:ind w:left="169" w:right="162"/>
              <w:rPr>
                <w:sz w:val="18"/>
              </w:rPr>
            </w:pPr>
            <w:r>
              <w:rPr>
                <w:sz w:val="18"/>
              </w:rPr>
              <w:t>毒性</w:t>
            </w:r>
          </w:p>
        </w:tc>
        <w:tc>
          <w:tcPr>
            <w:tcW w:w="8444" w:type="dxa"/>
            <w:gridSpan w:val="3"/>
          </w:tcPr>
          <w:p>
            <w:pPr>
              <w:pStyle w:val="TableParagraph"/>
              <w:spacing w:line="212" w:lineRule="exact"/>
              <w:ind w:left="107"/>
              <w:jc w:val="left"/>
              <w:rPr>
                <w:sz w:val="18"/>
              </w:rPr>
            </w:pPr>
            <w:r>
              <w:rPr>
                <w:sz w:val="18"/>
              </w:rPr>
              <w:t>急性毒性：</w:t>
            </w:r>
            <w:r>
              <w:rPr>
                <w:rFonts w:ascii="Times New Roman" w:eastAsia="Times New Roman"/>
                <w:sz w:val="18"/>
              </w:rPr>
              <w:t>LD50</w:t>
            </w:r>
            <w:r>
              <w:rPr>
                <w:sz w:val="18"/>
              </w:rPr>
              <w:t>：</w:t>
            </w:r>
            <w:r>
              <w:rPr>
                <w:rFonts w:ascii="Times New Roman" w:eastAsia="Times New Roman"/>
                <w:sz w:val="18"/>
              </w:rPr>
              <w:t>5800 mg/kg(</w:t>
            </w:r>
            <w:r>
              <w:rPr>
                <w:sz w:val="18"/>
              </w:rPr>
              <w:t>大鼠经口</w:t>
            </w:r>
            <w:r>
              <w:rPr>
                <w:rFonts w:ascii="Times New Roman" w:eastAsia="Times New Roman"/>
                <w:sz w:val="18"/>
              </w:rPr>
              <w:t>)</w:t>
            </w:r>
            <w:r>
              <w:rPr>
                <w:sz w:val="18"/>
              </w:rPr>
              <w:t>；</w:t>
            </w:r>
            <w:r>
              <w:rPr>
                <w:rFonts w:ascii="Times New Roman" w:eastAsia="Times New Roman"/>
                <w:sz w:val="18"/>
              </w:rPr>
              <w:t>20000 mg/kg(</w:t>
            </w:r>
            <w:r>
              <w:rPr>
                <w:sz w:val="18"/>
              </w:rPr>
              <w:t>兔经皮</w:t>
            </w:r>
            <w:r>
              <w:rPr>
                <w:rFonts w:ascii="Times New Roman" w:eastAsia="Times New Roman"/>
                <w:sz w:val="18"/>
              </w:rPr>
              <w:t>) </w:t>
            </w:r>
            <w:r>
              <w:rPr>
                <w:sz w:val="18"/>
              </w:rPr>
              <w:t>。</w:t>
            </w:r>
          </w:p>
        </w:tc>
      </w:tr>
      <w:tr>
        <w:trPr>
          <w:trHeight w:val="935" w:hRule="atLeast"/>
        </w:trPr>
        <w:tc>
          <w:tcPr>
            <w:tcW w:w="742" w:type="dxa"/>
          </w:tcPr>
          <w:p>
            <w:pPr>
              <w:pStyle w:val="TableParagraph"/>
              <w:spacing w:line="242" w:lineRule="auto" w:before="115"/>
              <w:ind w:left="189" w:right="180"/>
              <w:jc w:val="both"/>
              <w:rPr>
                <w:sz w:val="18"/>
              </w:rPr>
            </w:pPr>
            <w:r>
              <w:rPr>
                <w:sz w:val="18"/>
              </w:rPr>
              <w:t>对人体危害</w:t>
            </w:r>
          </w:p>
        </w:tc>
        <w:tc>
          <w:tcPr>
            <w:tcW w:w="8444" w:type="dxa"/>
            <w:gridSpan w:val="3"/>
          </w:tcPr>
          <w:p>
            <w:pPr>
              <w:pStyle w:val="TableParagraph"/>
              <w:numPr>
                <w:ilvl w:val="0"/>
                <w:numId w:val="16"/>
              </w:numPr>
              <w:tabs>
                <w:tab w:pos="169" w:val="left" w:leader="none"/>
              </w:tabs>
              <w:spacing w:line="242" w:lineRule="auto" w:before="0" w:after="0"/>
              <w:ind w:left="107" w:right="3" w:firstLine="0"/>
              <w:jc w:val="left"/>
              <w:rPr>
                <w:sz w:val="18"/>
              </w:rPr>
            </w:pPr>
            <w:r>
              <w:rPr>
                <w:sz w:val="18"/>
              </w:rPr>
              <w:t>急性中毒主要表现为对中枢神经系统的麻醉作用，出现乏力、恶心、头痛、头晕、易激动，重者发生呕</w:t>
            </w:r>
            <w:r>
              <w:rPr>
                <w:spacing w:val="-6"/>
                <w:sz w:val="18"/>
              </w:rPr>
              <w:t>吐、气急、痉挛，甚至昏迷， 对眼、鼻、喉有刺激性。口服后，先有口唇、咽喉有烧灼感，后出现口干、</w:t>
            </w:r>
            <w:r>
              <w:rPr>
                <w:spacing w:val="-5"/>
                <w:sz w:val="18"/>
              </w:rPr>
              <w:t>呕吐、昏迷、酸中毒和酮症；慢性影响：长期接触该品出现眩晕、灼烧感、咽炎、支气管炎、乏力、易激</w:t>
            </w:r>
          </w:p>
          <w:p>
            <w:pPr>
              <w:pStyle w:val="TableParagraph"/>
              <w:spacing w:line="215" w:lineRule="exact" w:before="1"/>
              <w:ind w:left="107"/>
              <w:jc w:val="left"/>
              <w:rPr>
                <w:sz w:val="18"/>
              </w:rPr>
            </w:pPr>
            <w:r>
              <w:rPr>
                <w:sz w:val="18"/>
              </w:rPr>
              <w:t>动等，皮肤长期反复接触可致皮炎。</w:t>
            </w:r>
          </w:p>
        </w:tc>
      </w:tr>
      <w:tr>
        <w:trPr>
          <w:trHeight w:val="700" w:hRule="atLeast"/>
        </w:trPr>
        <w:tc>
          <w:tcPr>
            <w:tcW w:w="742" w:type="dxa"/>
          </w:tcPr>
          <w:p>
            <w:pPr>
              <w:pStyle w:val="TableParagraph"/>
              <w:spacing w:before="2"/>
              <w:jc w:val="left"/>
              <w:rPr>
                <w:b/>
                <w:sz w:val="18"/>
              </w:rPr>
            </w:pPr>
          </w:p>
          <w:p>
            <w:pPr>
              <w:pStyle w:val="TableParagraph"/>
              <w:ind w:left="169" w:right="162"/>
              <w:rPr>
                <w:sz w:val="18"/>
              </w:rPr>
            </w:pPr>
            <w:r>
              <w:rPr>
                <w:sz w:val="18"/>
              </w:rPr>
              <w:t>急救</w:t>
            </w:r>
          </w:p>
        </w:tc>
        <w:tc>
          <w:tcPr>
            <w:tcW w:w="8444" w:type="dxa"/>
            <w:gridSpan w:val="3"/>
          </w:tcPr>
          <w:p>
            <w:pPr>
              <w:pStyle w:val="TableParagraph"/>
              <w:numPr>
                <w:ilvl w:val="0"/>
                <w:numId w:val="17"/>
              </w:numPr>
              <w:tabs>
                <w:tab w:pos="169" w:val="left" w:leader="none"/>
              </w:tabs>
              <w:spacing w:line="230" w:lineRule="exact" w:before="0" w:after="0"/>
              <w:ind w:left="168" w:right="0" w:hanging="62"/>
              <w:jc w:val="left"/>
              <w:rPr>
                <w:sz w:val="18"/>
              </w:rPr>
            </w:pPr>
            <w:r>
              <w:rPr>
                <w:sz w:val="18"/>
              </w:rPr>
              <w:t>皮肤接触：脱去污染的衣着，用肥皂水和清水彻底冲洗皮肤。</w:t>
            </w:r>
            <w:r>
              <w:rPr>
                <w:rFonts w:ascii="Times New Roman" w:hAnsi="Times New Roman" w:eastAsia="Times New Roman"/>
                <w:spacing w:val="-3"/>
                <w:sz w:val="18"/>
              </w:rPr>
              <w:t>·</w:t>
            </w:r>
            <w:r>
              <w:rPr>
                <w:sz w:val="18"/>
              </w:rPr>
              <w:t>眼睛接触：提起眼睑，用流动清水或生理</w:t>
            </w:r>
          </w:p>
          <w:p>
            <w:pPr>
              <w:pStyle w:val="TableParagraph"/>
              <w:spacing w:line="230" w:lineRule="atLeast" w:before="2"/>
              <w:ind w:left="107" w:right="94"/>
              <w:jc w:val="left"/>
              <w:rPr>
                <w:sz w:val="18"/>
              </w:rPr>
            </w:pPr>
            <w:r>
              <w:rPr>
                <w:sz w:val="18"/>
              </w:rPr>
              <w:t>盐水冲洗。就医。</w:t>
            </w:r>
            <w:r>
              <w:rPr>
                <w:rFonts w:ascii="Times New Roman" w:hAnsi="Times New Roman" w:eastAsia="Times New Roman"/>
                <w:sz w:val="18"/>
              </w:rPr>
              <w:t>·</w:t>
            </w:r>
            <w:r>
              <w:rPr>
                <w:sz w:val="18"/>
              </w:rPr>
              <w:t>吸入：迅速脱离现场至空气新鲜处，保持呼吸道通畅，如呼吸困难，给输氧，如呼吸停止，立即进行人工呼吸；就医。</w:t>
            </w:r>
            <w:r>
              <w:rPr>
                <w:rFonts w:ascii="Times New Roman" w:hAnsi="Times New Roman" w:eastAsia="Times New Roman"/>
                <w:sz w:val="18"/>
              </w:rPr>
              <w:t>·</w:t>
            </w:r>
            <w:r>
              <w:rPr>
                <w:sz w:val="18"/>
              </w:rPr>
              <w:t>食入：饮足量温水，催吐，就医。</w:t>
            </w:r>
          </w:p>
        </w:tc>
      </w:tr>
      <w:tr>
        <w:trPr>
          <w:trHeight w:val="697" w:hRule="atLeast"/>
        </w:trPr>
        <w:tc>
          <w:tcPr>
            <w:tcW w:w="742" w:type="dxa"/>
          </w:tcPr>
          <w:p>
            <w:pPr>
              <w:pStyle w:val="TableParagraph"/>
              <w:spacing w:before="1"/>
              <w:jc w:val="left"/>
              <w:rPr>
                <w:b/>
                <w:sz w:val="18"/>
              </w:rPr>
            </w:pPr>
          </w:p>
          <w:p>
            <w:pPr>
              <w:pStyle w:val="TableParagraph"/>
              <w:spacing w:before="1"/>
              <w:ind w:left="169" w:right="162"/>
              <w:rPr>
                <w:sz w:val="18"/>
              </w:rPr>
            </w:pPr>
            <w:r>
              <w:rPr>
                <w:sz w:val="18"/>
              </w:rPr>
              <w:t>防护</w:t>
            </w:r>
          </w:p>
        </w:tc>
        <w:tc>
          <w:tcPr>
            <w:tcW w:w="8444" w:type="dxa"/>
            <w:gridSpan w:val="3"/>
          </w:tcPr>
          <w:p>
            <w:pPr>
              <w:pStyle w:val="TableParagraph"/>
              <w:numPr>
                <w:ilvl w:val="0"/>
                <w:numId w:val="18"/>
              </w:numPr>
              <w:tabs>
                <w:tab w:pos="169" w:val="left" w:leader="none"/>
              </w:tabs>
              <w:spacing w:line="242" w:lineRule="auto" w:before="0" w:after="0"/>
              <w:ind w:left="107" w:right="3" w:firstLine="0"/>
              <w:jc w:val="left"/>
              <w:rPr>
                <w:sz w:val="18"/>
              </w:rPr>
            </w:pPr>
            <w:r>
              <w:rPr>
                <w:spacing w:val="-3"/>
                <w:sz w:val="18"/>
              </w:rPr>
              <w:t>呼吸系统防护：空气中浓度超标时，佩戴过滤式防毒面具</w:t>
            </w:r>
            <w:r>
              <w:rPr>
                <w:sz w:val="18"/>
              </w:rPr>
              <w:t>（半面罩</w:t>
            </w:r>
            <w:r>
              <w:rPr>
                <w:spacing w:val="-3"/>
                <w:sz w:val="18"/>
              </w:rPr>
              <w:t>）</w:t>
            </w:r>
            <w:r>
              <w:rPr>
                <w:spacing w:val="-4"/>
                <w:sz w:val="18"/>
              </w:rPr>
              <w:t>。眼睛防护：一般不需要特殊防护， </w:t>
            </w:r>
            <w:r>
              <w:rPr>
                <w:sz w:val="18"/>
              </w:rPr>
              <w:t>高浓度接触时可戴安全防护眼镜。身体防护：穿防静电工作服。</w:t>
            </w:r>
            <w:r>
              <w:rPr>
                <w:rFonts w:ascii="Times New Roman" w:hAnsi="Times New Roman" w:eastAsia="Times New Roman"/>
                <w:sz w:val="18"/>
              </w:rPr>
              <w:t>·</w:t>
            </w:r>
            <w:r>
              <w:rPr>
                <w:sz w:val="18"/>
              </w:rPr>
              <w:t>手防护：戴橡胶耐油手套。</w:t>
            </w:r>
            <w:r>
              <w:rPr>
                <w:rFonts w:ascii="Times New Roman" w:hAnsi="Times New Roman" w:eastAsia="Times New Roman"/>
                <w:sz w:val="18"/>
              </w:rPr>
              <w:t>·</w:t>
            </w:r>
            <w:r>
              <w:rPr>
                <w:spacing w:val="-7"/>
                <w:sz w:val="18"/>
              </w:rPr>
              <w:t>其它：工作</w:t>
            </w:r>
          </w:p>
          <w:p>
            <w:pPr>
              <w:pStyle w:val="TableParagraph"/>
              <w:spacing w:line="212" w:lineRule="exact"/>
              <w:ind w:left="107"/>
              <w:jc w:val="left"/>
              <w:rPr>
                <w:sz w:val="18"/>
              </w:rPr>
            </w:pPr>
            <w:r>
              <w:rPr>
                <w:sz w:val="18"/>
              </w:rPr>
              <w:t>现场严禁吸烟，注意个人清洁卫生，避免长期反复接触。</w:t>
            </w:r>
          </w:p>
        </w:tc>
      </w:tr>
      <w:tr>
        <w:trPr>
          <w:trHeight w:val="1168" w:hRule="atLeast"/>
        </w:trPr>
        <w:tc>
          <w:tcPr>
            <w:tcW w:w="742" w:type="dxa"/>
          </w:tcPr>
          <w:p>
            <w:pPr>
              <w:pStyle w:val="TableParagraph"/>
              <w:jc w:val="left"/>
              <w:rPr>
                <w:b/>
                <w:sz w:val="18"/>
              </w:rPr>
            </w:pPr>
          </w:p>
          <w:p>
            <w:pPr>
              <w:pStyle w:val="TableParagraph"/>
              <w:spacing w:line="244" w:lineRule="auto" w:before="117"/>
              <w:ind w:left="189" w:right="180"/>
              <w:jc w:val="left"/>
              <w:rPr>
                <w:sz w:val="18"/>
              </w:rPr>
            </w:pPr>
            <w:r>
              <w:rPr>
                <w:sz w:val="18"/>
              </w:rPr>
              <w:t>泄漏处理</w:t>
            </w:r>
          </w:p>
        </w:tc>
        <w:tc>
          <w:tcPr>
            <w:tcW w:w="8444" w:type="dxa"/>
            <w:gridSpan w:val="3"/>
          </w:tcPr>
          <w:p>
            <w:pPr>
              <w:pStyle w:val="TableParagraph"/>
              <w:spacing w:line="242" w:lineRule="auto"/>
              <w:ind w:left="107" w:right="44"/>
              <w:jc w:val="both"/>
              <w:rPr>
                <w:sz w:val="18"/>
              </w:rPr>
            </w:pPr>
            <w:r>
              <w:rPr>
                <w:spacing w:val="-5"/>
                <w:sz w:val="18"/>
              </w:rPr>
              <w:t>迅速撤离泄漏污染区人员至安全区，并进行隔离，严格限制出入。切断火源。建议应急处理人员戴自给正</w:t>
            </w:r>
            <w:r>
              <w:rPr>
                <w:spacing w:val="-6"/>
                <w:sz w:val="18"/>
              </w:rPr>
              <w:t>压式呼吸器，穿防静电工作服。尽可能切断泄漏源。防止流入下水道、排洪沟等限制性空间。小量泄漏： </w:t>
            </w:r>
            <w:r>
              <w:rPr>
                <w:spacing w:val="-4"/>
                <w:sz w:val="18"/>
              </w:rPr>
              <w:t>用砂土或其它不燃材料吸附或吸收。也可以用大量水冲洗，洗水稀释后放入废水系统。大量泄漏：构筑围</w:t>
            </w:r>
            <w:r>
              <w:rPr>
                <w:spacing w:val="-9"/>
                <w:sz w:val="18"/>
              </w:rPr>
              <w:t>堤或挖坑收容。用泡沫覆盖，降低蒸气灾害。用防爆泵转移至槽车或专用收集器内，回收或运至废物处理</w:t>
            </w:r>
          </w:p>
          <w:p>
            <w:pPr>
              <w:pStyle w:val="TableParagraph"/>
              <w:spacing w:line="213" w:lineRule="exact" w:before="4"/>
              <w:ind w:left="107"/>
              <w:jc w:val="left"/>
              <w:rPr>
                <w:sz w:val="18"/>
              </w:rPr>
            </w:pPr>
            <w:r>
              <w:rPr>
                <w:sz w:val="18"/>
              </w:rPr>
              <w:t>场所处置。</w:t>
            </w:r>
          </w:p>
        </w:tc>
      </w:tr>
      <w:tr>
        <w:trPr>
          <w:trHeight w:val="1866" w:hRule="atLeast"/>
        </w:trPr>
        <w:tc>
          <w:tcPr>
            <w:tcW w:w="742" w:type="dxa"/>
          </w:tcPr>
          <w:p>
            <w:pPr>
              <w:pStyle w:val="TableParagraph"/>
              <w:jc w:val="left"/>
              <w:rPr>
                <w:b/>
                <w:sz w:val="18"/>
              </w:rPr>
            </w:pPr>
          </w:p>
          <w:p>
            <w:pPr>
              <w:pStyle w:val="TableParagraph"/>
              <w:spacing w:before="4"/>
              <w:jc w:val="left"/>
              <w:rPr>
                <w:b/>
                <w:sz w:val="18"/>
              </w:rPr>
            </w:pPr>
          </w:p>
          <w:p>
            <w:pPr>
              <w:pStyle w:val="TableParagraph"/>
              <w:spacing w:line="242" w:lineRule="auto"/>
              <w:ind w:left="189" w:right="180"/>
              <w:jc w:val="both"/>
              <w:rPr>
                <w:sz w:val="18"/>
              </w:rPr>
            </w:pPr>
            <w:r>
              <w:rPr>
                <w:sz w:val="18"/>
              </w:rPr>
              <w:t>操作处置与储存</w:t>
            </w:r>
          </w:p>
        </w:tc>
        <w:tc>
          <w:tcPr>
            <w:tcW w:w="8444" w:type="dxa"/>
            <w:gridSpan w:val="3"/>
          </w:tcPr>
          <w:p>
            <w:pPr>
              <w:pStyle w:val="TableParagraph"/>
              <w:numPr>
                <w:ilvl w:val="0"/>
                <w:numId w:val="19"/>
              </w:numPr>
              <w:tabs>
                <w:tab w:pos="169" w:val="left" w:leader="none"/>
              </w:tabs>
              <w:spacing w:line="242" w:lineRule="auto" w:before="0" w:after="0"/>
              <w:ind w:left="107" w:right="44" w:firstLine="0"/>
              <w:jc w:val="both"/>
              <w:rPr>
                <w:sz w:val="18"/>
              </w:rPr>
            </w:pPr>
            <w:r>
              <w:rPr>
                <w:sz w:val="18"/>
              </w:rPr>
              <w:t>操作处置注意事项：密闭操作，全面通风。操作人员必须经过专门培训，严格遵守操作规程。建议操作人员佩戴过滤式防毒面具（半面罩），</w:t>
            </w:r>
            <w:r>
              <w:rPr>
                <w:spacing w:val="-1"/>
                <w:sz w:val="18"/>
              </w:rPr>
              <w:t>戴安全防护眼镜，穿防静电工作服，戴橡胶耐油手套。远离火种、热源，工作场所严禁吸烟。使用防爆型的通风 系统和设备。防止蒸气泄漏到工作场所空气中。避免与氧</w:t>
            </w:r>
            <w:r>
              <w:rPr>
                <w:spacing w:val="-8"/>
                <w:sz w:val="18"/>
              </w:rPr>
              <w:t>化剂、还原剂、碱类接触。灌装时应控制流速，且有接地装臵，防止静电积聚。搬运时要轻装轻卸，防止包装及容器损坏。配备相应品种和数量的消防器材及泄漏应急处理设备。倒空的容器可能残留有害物。</w:t>
            </w:r>
          </w:p>
          <w:p>
            <w:pPr>
              <w:pStyle w:val="TableParagraph"/>
              <w:numPr>
                <w:ilvl w:val="0"/>
                <w:numId w:val="19"/>
              </w:numPr>
              <w:tabs>
                <w:tab w:pos="169" w:val="left" w:leader="none"/>
              </w:tabs>
              <w:spacing w:line="240" w:lineRule="auto" w:before="1" w:after="0"/>
              <w:ind w:left="168" w:right="0" w:hanging="62"/>
              <w:jc w:val="both"/>
              <w:rPr>
                <w:sz w:val="18"/>
              </w:rPr>
            </w:pPr>
            <w:r>
              <w:rPr>
                <w:spacing w:val="-1"/>
                <w:sz w:val="18"/>
              </w:rPr>
              <w:t>储存注意事项：储存于阴凉、通风的库房。远离火种、热源。库温不宜超过 </w:t>
            </w:r>
            <w:r>
              <w:rPr>
                <w:rFonts w:ascii="Times New Roman" w:hAnsi="Times New Roman" w:eastAsia="Times New Roman"/>
                <w:sz w:val="18"/>
              </w:rPr>
              <w:t>26</w:t>
            </w:r>
            <w:r>
              <w:rPr>
                <w:sz w:val="18"/>
              </w:rPr>
              <w:t>℃。保持容器密封。应与</w:t>
            </w:r>
          </w:p>
          <w:p>
            <w:pPr>
              <w:pStyle w:val="TableParagraph"/>
              <w:spacing w:line="230" w:lineRule="atLeast" w:before="5"/>
              <w:ind w:left="107" w:right="94"/>
              <w:jc w:val="left"/>
              <w:rPr>
                <w:sz w:val="18"/>
              </w:rPr>
            </w:pPr>
            <w:r>
              <w:rPr>
                <w:spacing w:val="-9"/>
                <w:sz w:val="18"/>
              </w:rPr>
              <w:t>氧化剂、还原剂、碱类分开存放，切忌混储。采用防爆型照明、通风设施。禁止使用易产生火花的机械设</w:t>
            </w:r>
            <w:r>
              <w:rPr>
                <w:sz w:val="18"/>
              </w:rPr>
              <w:t>备和工具。储区应备有泄漏应急处理设备和合适的收容材料。</w:t>
            </w:r>
          </w:p>
        </w:tc>
      </w:tr>
      <w:tr>
        <w:trPr>
          <w:trHeight w:val="935" w:hRule="atLeast"/>
        </w:trPr>
        <w:tc>
          <w:tcPr>
            <w:tcW w:w="742" w:type="dxa"/>
          </w:tcPr>
          <w:p>
            <w:pPr>
              <w:pStyle w:val="TableParagraph"/>
              <w:spacing w:before="1"/>
              <w:jc w:val="left"/>
              <w:rPr>
                <w:b/>
                <w:sz w:val="18"/>
              </w:rPr>
            </w:pPr>
          </w:p>
          <w:p>
            <w:pPr>
              <w:pStyle w:val="TableParagraph"/>
              <w:spacing w:line="244" w:lineRule="auto" w:before="1"/>
              <w:ind w:left="189" w:right="180"/>
              <w:jc w:val="left"/>
              <w:rPr>
                <w:sz w:val="18"/>
              </w:rPr>
            </w:pPr>
            <w:r>
              <w:rPr>
                <w:sz w:val="18"/>
              </w:rPr>
              <w:t>包装运输</w:t>
            </w:r>
          </w:p>
        </w:tc>
        <w:tc>
          <w:tcPr>
            <w:tcW w:w="8444" w:type="dxa"/>
            <w:gridSpan w:val="3"/>
          </w:tcPr>
          <w:p>
            <w:pPr>
              <w:pStyle w:val="TableParagraph"/>
              <w:spacing w:line="244" w:lineRule="auto"/>
              <w:ind w:left="107" w:right="94"/>
              <w:jc w:val="left"/>
              <w:rPr>
                <w:sz w:val="18"/>
              </w:rPr>
            </w:pPr>
            <w:r>
              <w:rPr>
                <w:spacing w:val="-7"/>
                <w:sz w:val="18"/>
              </w:rPr>
              <w:t>包装方法：小开口钢桶；安瓿瓶外普通木箱；螺纹口玻璃瓶、铁盖压口玻璃瓶、塑料瓶或金属桶</w:t>
            </w:r>
            <w:r>
              <w:rPr>
                <w:sz w:val="18"/>
              </w:rPr>
              <w:t>（罐</w:t>
            </w:r>
            <w:r>
              <w:rPr>
                <w:spacing w:val="-8"/>
                <w:sz w:val="18"/>
              </w:rPr>
              <w:t>）</w:t>
            </w:r>
            <w:r>
              <w:rPr>
                <w:spacing w:val="-11"/>
                <w:sz w:val="18"/>
              </w:rPr>
              <w:t>外</w:t>
            </w:r>
            <w:r>
              <w:rPr>
                <w:sz w:val="18"/>
              </w:rPr>
              <w:t>普通木箱。</w:t>
            </w:r>
          </w:p>
          <w:p>
            <w:pPr>
              <w:pStyle w:val="TableParagraph"/>
              <w:spacing w:line="228" w:lineRule="exact"/>
              <w:ind w:left="107"/>
              <w:jc w:val="left"/>
              <w:rPr>
                <w:sz w:val="18"/>
              </w:rPr>
            </w:pPr>
            <w:r>
              <w:rPr>
                <w:sz w:val="18"/>
              </w:rPr>
              <w:t>运输注意事项：运输时运输车辆应配备相应品种和数量的消防器材及泄漏应急处理设备。夏季最好早晚运</w:t>
            </w:r>
          </w:p>
          <w:p>
            <w:pPr>
              <w:pStyle w:val="TableParagraph"/>
              <w:spacing w:line="215" w:lineRule="exact" w:before="2"/>
              <w:ind w:left="107"/>
              <w:jc w:val="left"/>
              <w:rPr>
                <w:sz w:val="18"/>
              </w:rPr>
            </w:pPr>
            <w:r>
              <w:rPr>
                <w:spacing w:val="-8"/>
                <w:sz w:val="18"/>
              </w:rPr>
              <w:t>输。运输时所用的槽</w:t>
            </w:r>
            <w:r>
              <w:rPr>
                <w:sz w:val="18"/>
              </w:rPr>
              <w:t>（罐</w:t>
            </w:r>
            <w:r>
              <w:rPr>
                <w:spacing w:val="-25"/>
                <w:sz w:val="18"/>
              </w:rPr>
              <w:t>）</w:t>
            </w:r>
            <w:r>
              <w:rPr>
                <w:spacing w:val="-6"/>
                <w:sz w:val="18"/>
              </w:rPr>
              <w:t>车应有接地链，槽内可设孔隔板以减少震荡产生静电。严禁与氧化剂、还原剂、</w:t>
            </w:r>
          </w:p>
        </w:tc>
      </w:tr>
    </w:tbl>
    <w:p>
      <w:pPr>
        <w:spacing w:after="0" w:line="215" w:lineRule="exact"/>
        <w:jc w:val="left"/>
        <w:rPr>
          <w:sz w:val="18"/>
        </w:rPr>
        <w:sectPr>
          <w:pgSz w:w="11910" w:h="16840"/>
          <w:pgMar w:header="0" w:footer="952" w:top="1580" w:bottom="1180" w:left="1240" w:right="1240"/>
        </w:sectPr>
      </w:pPr>
    </w:p>
    <w:p>
      <w:pPr>
        <w:pStyle w:val="BodyText"/>
        <w:spacing w:before="1"/>
        <w:rPr>
          <w:b/>
          <w:sz w:val="8"/>
        </w:rPr>
      </w:pPr>
    </w:p>
    <w:p>
      <w:pPr>
        <w:pStyle w:val="BodyText"/>
        <w:ind w:left="857"/>
        <w:rPr>
          <w:sz w:val="20"/>
        </w:rPr>
      </w:pPr>
      <w:r>
        <w:rPr>
          <w:sz w:val="20"/>
        </w:rPr>
        <w:pict>
          <v:shape style="width:422.2pt;height:47.2pt;mso-position-horizontal-relative:char;mso-position-vertical-relative:line" type="#_x0000_t202" filled="false" stroked="true" strokeweight=".48pt" strokecolor="#000000">
            <w10:anchorlock/>
            <v:textbox inset="0,0,0,0">
              <w:txbxContent>
                <w:p>
                  <w:pPr>
                    <w:spacing w:line="242" w:lineRule="auto" w:before="0"/>
                    <w:ind w:left="103" w:right="98" w:firstLine="0"/>
                    <w:jc w:val="both"/>
                    <w:rPr>
                      <w:sz w:val="18"/>
                    </w:rPr>
                  </w:pPr>
                  <w:r>
                    <w:rPr>
                      <w:spacing w:val="-9"/>
                      <w:sz w:val="18"/>
                    </w:rPr>
                    <w:t>碱类、食用化学品等混装混运。运输途中应防曝晒、雨淋，防高温。中途停留时应远离火种、热源、高温区。装运该物品的车辆排气管必须配备阻火装臵，禁止使用易产生火花的机械设备和工具装卸。公路运输时要按规定路线行驶，勿在居民区和人口稠密区停留。铁路运输时要禁止溜放。严禁用木船、水泥船散装运输。</w:t>
                  </w:r>
                </w:p>
              </w:txbxContent>
            </v:textbox>
            <v:stroke dashstyle="solid"/>
          </v:shape>
        </w:pict>
      </w:r>
      <w:r>
        <w:rPr>
          <w:sz w:val="20"/>
        </w:rPr>
      </w:r>
    </w:p>
    <w:p>
      <w:pPr>
        <w:pStyle w:val="BodyText"/>
        <w:spacing w:line="325" w:lineRule="exact"/>
        <w:ind w:left="1020"/>
      </w:pPr>
      <w:r>
        <w:rPr/>
        <w:pict>
          <v:line style="position:absolute;mso-position-horizontal-relative:page;mso-position-vertical-relative:paragraph;z-index:251687936" from="68.040001pt,-49.259998pt" to="68.040001pt,-1.619998pt" stroked="true" strokeweight=".48pt" strokecolor="#000000">
            <v:stroke dashstyle="solid"/>
            <w10:wrap type="none"/>
          </v:line>
        </w:pict>
      </w:r>
      <w:r>
        <w:rPr/>
        <w:t>多元醇二元酯（TBC）是新一代高沸点环保型强溶剂，它与现市场</w:t>
      </w:r>
    </w:p>
    <w:p>
      <w:pPr>
        <w:pStyle w:val="BodyText"/>
        <w:spacing w:line="364" w:lineRule="auto" w:before="186"/>
        <w:ind w:left="461" w:right="561"/>
      </w:pPr>
      <w:r>
        <w:rPr/>
        <w:t>通用的高沸点环保型强溶剂DBE 相比，具有气味好、馏程窄、成分稳定、冬天易干、成本更低的优点。</w:t>
      </w:r>
    </w:p>
    <w:p>
      <w:pPr>
        <w:pStyle w:val="BodyText"/>
        <w:spacing w:line="364" w:lineRule="auto"/>
        <w:ind w:left="1020" w:right="6019"/>
      </w:pPr>
      <w:r>
        <w:rPr/>
        <w:t>A、乙二醇二乙酸酯CAS：111-55-7</w:t>
      </w:r>
    </w:p>
    <w:p>
      <w:pPr>
        <w:pStyle w:val="BodyText"/>
        <w:spacing w:line="364" w:lineRule="auto"/>
        <w:ind w:left="1020" w:right="6300"/>
      </w:pPr>
      <w:r>
        <w:rPr/>
        <w:t>分子式：C6H10O4 结构式：</w:t>
      </w:r>
    </w:p>
    <w:p>
      <w:pPr>
        <w:pStyle w:val="BodyText"/>
        <w:spacing w:before="10"/>
        <w:rPr>
          <w:sz w:val="24"/>
        </w:rPr>
      </w:pPr>
      <w:r>
        <w:rPr/>
        <w:drawing>
          <wp:anchor distT="0" distB="0" distL="0" distR="0" allowOverlap="1" layoutInCell="1" locked="0" behindDoc="0" simplePos="0" relativeHeight="28">
            <wp:simplePos x="0" y="0"/>
            <wp:positionH relativeFrom="page">
              <wp:posOffset>1492148</wp:posOffset>
            </wp:positionH>
            <wp:positionV relativeFrom="paragraph">
              <wp:posOffset>226465</wp:posOffset>
            </wp:positionV>
            <wp:extent cx="2648255" cy="432815"/>
            <wp:effectExtent l="0" t="0" r="0" b="0"/>
            <wp:wrapTopAndBottom/>
            <wp:docPr id="17" name="image29.png"/>
            <wp:cNvGraphicFramePr>
              <a:graphicFrameLocks noChangeAspect="1"/>
            </wp:cNvGraphicFramePr>
            <a:graphic>
              <a:graphicData uri="http://schemas.openxmlformats.org/drawingml/2006/picture">
                <pic:pic>
                  <pic:nvPicPr>
                    <pic:cNvPr id="18" name="image29.png"/>
                    <pic:cNvPicPr/>
                  </pic:nvPicPr>
                  <pic:blipFill>
                    <a:blip r:embed="rId38" cstate="print"/>
                    <a:stretch>
                      <a:fillRect/>
                    </a:stretch>
                  </pic:blipFill>
                  <pic:spPr>
                    <a:xfrm>
                      <a:off x="0" y="0"/>
                      <a:ext cx="2648255" cy="432815"/>
                    </a:xfrm>
                    <a:prstGeom prst="rect">
                      <a:avLst/>
                    </a:prstGeom>
                  </pic:spPr>
                </pic:pic>
              </a:graphicData>
            </a:graphic>
          </wp:anchor>
        </w:drawing>
      </w:r>
    </w:p>
    <w:p>
      <w:pPr>
        <w:pStyle w:val="BodyText"/>
        <w:rPr>
          <w:sz w:val="20"/>
        </w:rPr>
      </w:pPr>
    </w:p>
    <w:p>
      <w:pPr>
        <w:pStyle w:val="BodyText"/>
        <w:spacing w:line="364" w:lineRule="auto" w:before="200"/>
        <w:ind w:left="1020" w:right="6440"/>
      </w:pPr>
      <w:r>
        <w:rPr/>
        <w:t>分子量</w:t>
      </w:r>
      <w:r>
        <w:rPr>
          <w:spacing w:val="-4"/>
        </w:rPr>
        <w:t>：146.14 </w:t>
      </w:r>
      <w:r>
        <w:rPr/>
        <w:t>沸 点 ：187℃ 熔点：-31℃</w:t>
      </w:r>
    </w:p>
    <w:p>
      <w:pPr>
        <w:pStyle w:val="BodyText"/>
        <w:spacing w:line="357" w:lineRule="exact"/>
        <w:ind w:left="1020"/>
      </w:pPr>
      <w:r>
        <w:rPr>
          <w:spacing w:val="-1"/>
        </w:rPr>
        <w:t>闪点：105℃</w:t>
      </w:r>
    </w:p>
    <w:p>
      <w:pPr>
        <w:pStyle w:val="BodyText"/>
        <w:spacing w:line="364" w:lineRule="auto" w:before="186"/>
        <w:ind w:left="1020" w:right="4339"/>
      </w:pPr>
      <w:r>
        <w:rPr/>
        <w:t>中文名称：1,2-乙二醇二乙酸酯英文名称：1,2-Diacetoxybutane</w:t>
      </w:r>
    </w:p>
    <w:p>
      <w:pPr>
        <w:pStyle w:val="BodyText"/>
        <w:spacing w:line="364" w:lineRule="auto"/>
        <w:ind w:left="461" w:right="319" w:firstLine="559"/>
        <w:jc w:val="both"/>
      </w:pPr>
      <w:r>
        <w:rPr>
          <w:spacing w:val="-7"/>
        </w:rPr>
        <w:t>性质描述：避免与碱、酸、氧化剂、还原剂接触。为可燃性液体， </w:t>
      </w:r>
      <w:r>
        <w:rPr>
          <w:spacing w:val="-9"/>
        </w:rPr>
        <w:t>对金属无腐蚀性，可用铁、软钢或铝制容器贮存，但不宜用铜制容器， </w:t>
      </w:r>
      <w:r>
        <w:rPr>
          <w:spacing w:val="-6"/>
        </w:rPr>
        <w:t>因分解产生的乙酸对铜有腐蚀性。</w:t>
      </w:r>
    </w:p>
    <w:p>
      <w:pPr>
        <w:pStyle w:val="BodyText"/>
        <w:spacing w:line="364" w:lineRule="auto"/>
        <w:ind w:left="1020" w:right="6019"/>
      </w:pPr>
      <w:r>
        <w:rPr/>
        <w:t>B、丙二醇二乙酸酯CAS：623-84-7</w:t>
      </w:r>
    </w:p>
    <w:p>
      <w:pPr>
        <w:pStyle w:val="BodyText"/>
        <w:spacing w:line="364" w:lineRule="auto"/>
        <w:ind w:left="1020" w:right="6300"/>
      </w:pPr>
      <w:r>
        <w:rPr/>
        <w:t>分子式：C7H12O4 结构式：</w:t>
      </w:r>
    </w:p>
    <w:p>
      <w:pPr>
        <w:spacing w:after="0" w:line="364" w:lineRule="auto"/>
        <w:sectPr>
          <w:pgSz w:w="11910" w:h="16840"/>
          <w:pgMar w:header="0" w:footer="952" w:top="1580" w:bottom="1180" w:left="1240" w:right="1240"/>
        </w:sectPr>
      </w:pPr>
    </w:p>
    <w:p>
      <w:pPr>
        <w:pStyle w:val="BodyText"/>
        <w:spacing w:before="9"/>
        <w:rPr>
          <w:sz w:val="15"/>
        </w:rPr>
      </w:pPr>
    </w:p>
    <w:p>
      <w:pPr>
        <w:pStyle w:val="BodyText"/>
        <w:ind w:left="1115"/>
        <w:rPr>
          <w:sz w:val="20"/>
        </w:rPr>
      </w:pPr>
      <w:r>
        <w:rPr>
          <w:sz w:val="20"/>
        </w:rPr>
        <w:drawing>
          <wp:inline distT="0" distB="0" distL="0" distR="0">
            <wp:extent cx="1630775" cy="539210"/>
            <wp:effectExtent l="0" t="0" r="0" b="0"/>
            <wp:docPr id="19" name="image30.png"/>
            <wp:cNvGraphicFramePr>
              <a:graphicFrameLocks noChangeAspect="1"/>
            </wp:cNvGraphicFramePr>
            <a:graphic>
              <a:graphicData uri="http://schemas.openxmlformats.org/drawingml/2006/picture">
                <pic:pic>
                  <pic:nvPicPr>
                    <pic:cNvPr id="20" name="image30.png"/>
                    <pic:cNvPicPr/>
                  </pic:nvPicPr>
                  <pic:blipFill>
                    <a:blip r:embed="rId39" cstate="print"/>
                    <a:stretch>
                      <a:fillRect/>
                    </a:stretch>
                  </pic:blipFill>
                  <pic:spPr>
                    <a:xfrm>
                      <a:off x="0" y="0"/>
                      <a:ext cx="1630775" cy="539210"/>
                    </a:xfrm>
                    <a:prstGeom prst="rect">
                      <a:avLst/>
                    </a:prstGeom>
                  </pic:spPr>
                </pic:pic>
              </a:graphicData>
            </a:graphic>
          </wp:inline>
        </w:drawing>
      </w:r>
      <w:r>
        <w:rPr>
          <w:sz w:val="20"/>
        </w:rPr>
      </w:r>
    </w:p>
    <w:p>
      <w:pPr>
        <w:pStyle w:val="BodyText"/>
        <w:spacing w:before="8"/>
        <w:rPr>
          <w:sz w:val="19"/>
        </w:rPr>
      </w:pPr>
    </w:p>
    <w:p>
      <w:pPr>
        <w:pStyle w:val="BodyText"/>
        <w:spacing w:line="364" w:lineRule="auto" w:before="62"/>
        <w:ind w:left="1020" w:right="6440"/>
      </w:pPr>
      <w:r>
        <w:rPr/>
        <w:t>分子量：160.17 沸点：190.5℃ 熔点：-31℃</w:t>
      </w:r>
    </w:p>
    <w:p>
      <w:pPr>
        <w:pStyle w:val="BodyText"/>
        <w:spacing w:line="357" w:lineRule="exact"/>
        <w:ind w:left="1020"/>
      </w:pPr>
      <w:r>
        <w:rPr/>
        <w:t>闪点：87℃</w:t>
      </w:r>
    </w:p>
    <w:p>
      <w:pPr>
        <w:pStyle w:val="BodyText"/>
        <w:spacing w:before="186"/>
        <w:ind w:left="1020"/>
      </w:pPr>
      <w:r>
        <w:rPr/>
        <w:t>中文名称：1,2-丙二醇二乙酸酯</w:t>
      </w:r>
    </w:p>
    <w:p>
      <w:pPr>
        <w:pStyle w:val="BodyText"/>
        <w:spacing w:before="186"/>
        <w:ind w:left="1020"/>
      </w:pPr>
      <w:r>
        <w:rPr/>
        <w:t>英文名称：1,2-Propyleneglycol diacetate</w:t>
      </w:r>
    </w:p>
    <w:p>
      <w:pPr>
        <w:pStyle w:val="BodyText"/>
        <w:spacing w:line="364" w:lineRule="auto" w:before="186"/>
        <w:ind w:left="461" w:right="561" w:firstLine="559"/>
      </w:pPr>
      <w:r>
        <w:rPr/>
        <w:t>储存方法：存放在密封容器内，并放在阴凉，干燥处；储存的地方必须远离氧化剂。</w:t>
      </w:r>
    </w:p>
    <w:p>
      <w:pPr>
        <w:pStyle w:val="BodyText"/>
        <w:spacing w:line="358" w:lineRule="exact"/>
        <w:ind w:left="1020"/>
      </w:pPr>
      <w:r>
        <w:rPr/>
        <w:t>公司环境风险单元见表 3-1-13。</w:t>
      </w:r>
    </w:p>
    <w:p>
      <w:pPr>
        <w:spacing w:after="0" w:line="358" w:lineRule="exact"/>
        <w:sectPr>
          <w:pgSz w:w="11910" w:h="16840"/>
          <w:pgMar w:header="0" w:footer="952" w:top="1580" w:bottom="1180" w:left="1240" w:right="1240"/>
        </w:sectPr>
      </w:pPr>
    </w:p>
    <w:p>
      <w:pPr>
        <w:pStyle w:val="BodyText"/>
        <w:rPr>
          <w:sz w:val="20"/>
        </w:rPr>
      </w:pPr>
    </w:p>
    <w:p>
      <w:pPr>
        <w:pStyle w:val="BodyText"/>
        <w:spacing w:before="7"/>
        <w:rPr>
          <w:sz w:val="21"/>
        </w:rPr>
      </w:pPr>
    </w:p>
    <w:p>
      <w:pPr>
        <w:spacing w:before="62"/>
        <w:ind w:left="5505" w:right="4955" w:firstLine="0"/>
        <w:jc w:val="center"/>
        <w:rPr>
          <w:b/>
          <w:sz w:val="28"/>
        </w:rPr>
      </w:pPr>
      <w:r>
        <w:rPr>
          <w:b/>
          <w:sz w:val="28"/>
        </w:rPr>
        <w:t>表 3-1-13 公司风险单元汇总表</w:t>
      </w:r>
    </w:p>
    <w:p>
      <w:pPr>
        <w:pStyle w:val="BodyText"/>
        <w:spacing w:before="8"/>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1889"/>
        <w:gridCol w:w="931"/>
        <w:gridCol w:w="1080"/>
        <w:gridCol w:w="898"/>
        <w:gridCol w:w="1263"/>
        <w:gridCol w:w="1702"/>
        <w:gridCol w:w="1779"/>
        <w:gridCol w:w="1777"/>
        <w:gridCol w:w="1779"/>
      </w:tblGrid>
      <w:tr>
        <w:trPr>
          <w:trHeight w:val="270" w:hRule="atLeast"/>
        </w:trPr>
        <w:tc>
          <w:tcPr>
            <w:tcW w:w="1123" w:type="dxa"/>
          </w:tcPr>
          <w:p>
            <w:pPr>
              <w:pStyle w:val="TableParagraph"/>
              <w:spacing w:line="250" w:lineRule="exact" w:before="1"/>
              <w:ind w:left="138"/>
              <w:jc w:val="left"/>
              <w:rPr>
                <w:sz w:val="21"/>
              </w:rPr>
            </w:pPr>
            <w:r>
              <w:rPr>
                <w:sz w:val="21"/>
              </w:rPr>
              <w:t>风险环节</w:t>
            </w:r>
          </w:p>
        </w:tc>
        <w:tc>
          <w:tcPr>
            <w:tcW w:w="1889" w:type="dxa"/>
          </w:tcPr>
          <w:p>
            <w:pPr>
              <w:pStyle w:val="TableParagraph"/>
              <w:spacing w:line="250" w:lineRule="exact" w:before="1"/>
              <w:ind w:left="187" w:right="178"/>
              <w:rPr>
                <w:sz w:val="21"/>
              </w:rPr>
            </w:pPr>
            <w:r>
              <w:rPr>
                <w:sz w:val="21"/>
              </w:rPr>
              <w:t>环境风险源</w:t>
            </w:r>
          </w:p>
        </w:tc>
        <w:tc>
          <w:tcPr>
            <w:tcW w:w="931" w:type="dxa"/>
          </w:tcPr>
          <w:p>
            <w:pPr>
              <w:pStyle w:val="TableParagraph"/>
              <w:spacing w:line="250" w:lineRule="exact" w:before="1"/>
              <w:ind w:left="254"/>
              <w:jc w:val="left"/>
              <w:rPr>
                <w:sz w:val="21"/>
              </w:rPr>
            </w:pPr>
            <w:r>
              <w:rPr>
                <w:sz w:val="21"/>
              </w:rPr>
              <w:t>位置</w:t>
            </w:r>
          </w:p>
        </w:tc>
        <w:tc>
          <w:tcPr>
            <w:tcW w:w="1080" w:type="dxa"/>
          </w:tcPr>
          <w:p>
            <w:pPr>
              <w:pStyle w:val="TableParagraph"/>
              <w:spacing w:line="250" w:lineRule="exact" w:before="1"/>
              <w:ind w:left="141" w:right="132"/>
              <w:rPr>
                <w:sz w:val="21"/>
              </w:rPr>
            </w:pPr>
            <w:r>
              <w:rPr>
                <w:sz w:val="21"/>
              </w:rPr>
              <w:t>规格</w:t>
            </w:r>
          </w:p>
        </w:tc>
        <w:tc>
          <w:tcPr>
            <w:tcW w:w="898" w:type="dxa"/>
          </w:tcPr>
          <w:p>
            <w:pPr>
              <w:pStyle w:val="TableParagraph"/>
              <w:spacing w:line="250" w:lineRule="exact" w:before="1"/>
              <w:ind w:left="218" w:right="209"/>
              <w:rPr>
                <w:sz w:val="21"/>
              </w:rPr>
            </w:pPr>
            <w:r>
              <w:rPr>
                <w:sz w:val="21"/>
              </w:rPr>
              <w:t>数量</w:t>
            </w:r>
          </w:p>
        </w:tc>
        <w:tc>
          <w:tcPr>
            <w:tcW w:w="1263" w:type="dxa"/>
          </w:tcPr>
          <w:p>
            <w:pPr>
              <w:pStyle w:val="TableParagraph"/>
              <w:spacing w:line="250" w:lineRule="exact" w:before="1"/>
              <w:ind w:left="99" w:right="94"/>
              <w:rPr>
                <w:sz w:val="21"/>
              </w:rPr>
            </w:pPr>
            <w:r>
              <w:rPr>
                <w:sz w:val="21"/>
              </w:rPr>
              <w:t>风险物质</w:t>
            </w:r>
          </w:p>
        </w:tc>
        <w:tc>
          <w:tcPr>
            <w:tcW w:w="1702" w:type="dxa"/>
          </w:tcPr>
          <w:p>
            <w:pPr>
              <w:pStyle w:val="TableParagraph"/>
              <w:spacing w:line="250" w:lineRule="exact" w:before="1"/>
              <w:ind w:left="304" w:right="295"/>
              <w:rPr>
                <w:sz w:val="21"/>
              </w:rPr>
            </w:pPr>
            <w:r>
              <w:rPr>
                <w:sz w:val="21"/>
              </w:rPr>
              <w:t>特性</w:t>
            </w:r>
          </w:p>
        </w:tc>
        <w:tc>
          <w:tcPr>
            <w:tcW w:w="1779" w:type="dxa"/>
          </w:tcPr>
          <w:p>
            <w:pPr>
              <w:pStyle w:val="TableParagraph"/>
              <w:spacing w:line="250" w:lineRule="exact" w:before="1"/>
              <w:ind w:left="97" w:right="96"/>
              <w:rPr>
                <w:sz w:val="21"/>
              </w:rPr>
            </w:pPr>
            <w:r>
              <w:rPr>
                <w:sz w:val="21"/>
              </w:rPr>
              <w:t>日常储存量</w:t>
            </w:r>
          </w:p>
        </w:tc>
        <w:tc>
          <w:tcPr>
            <w:tcW w:w="1777" w:type="dxa"/>
          </w:tcPr>
          <w:p>
            <w:pPr>
              <w:pStyle w:val="TableParagraph"/>
              <w:spacing w:line="250" w:lineRule="exact" w:before="1"/>
              <w:ind w:left="342" w:right="335"/>
              <w:rPr>
                <w:sz w:val="21"/>
              </w:rPr>
            </w:pPr>
            <w:r>
              <w:rPr>
                <w:sz w:val="21"/>
              </w:rPr>
              <w:t>设计储存量</w:t>
            </w:r>
          </w:p>
        </w:tc>
        <w:tc>
          <w:tcPr>
            <w:tcW w:w="1779" w:type="dxa"/>
          </w:tcPr>
          <w:p>
            <w:pPr>
              <w:pStyle w:val="TableParagraph"/>
              <w:spacing w:line="250" w:lineRule="exact" w:before="1"/>
              <w:ind w:left="99" w:right="96"/>
              <w:rPr>
                <w:sz w:val="21"/>
              </w:rPr>
            </w:pPr>
            <w:r>
              <w:rPr>
                <w:sz w:val="21"/>
              </w:rPr>
              <w:t>环境影响</w:t>
            </w:r>
          </w:p>
        </w:tc>
      </w:tr>
      <w:tr>
        <w:trPr>
          <w:trHeight w:val="817" w:hRule="atLeast"/>
        </w:trPr>
        <w:tc>
          <w:tcPr>
            <w:tcW w:w="1123" w:type="dxa"/>
            <w:vMerge w:val="restart"/>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7"/>
              <w:jc w:val="left"/>
              <w:rPr>
                <w:b/>
                <w:sz w:val="19"/>
              </w:rPr>
            </w:pPr>
          </w:p>
          <w:p>
            <w:pPr>
              <w:pStyle w:val="TableParagraph"/>
              <w:ind w:left="138"/>
              <w:jc w:val="left"/>
              <w:rPr>
                <w:sz w:val="21"/>
              </w:rPr>
            </w:pPr>
            <w:r>
              <w:rPr>
                <w:sz w:val="21"/>
              </w:rPr>
              <w:t>储存环节</w:t>
            </w:r>
          </w:p>
        </w:tc>
        <w:tc>
          <w:tcPr>
            <w:tcW w:w="1889" w:type="dxa"/>
            <w:vMerge w:val="restart"/>
          </w:tcPr>
          <w:p>
            <w:pPr>
              <w:pStyle w:val="TableParagraph"/>
              <w:jc w:val="left"/>
              <w:rPr>
                <w:b/>
                <w:sz w:val="20"/>
              </w:rPr>
            </w:pPr>
          </w:p>
          <w:p>
            <w:pPr>
              <w:pStyle w:val="TableParagraph"/>
              <w:spacing w:before="152"/>
              <w:ind w:left="206"/>
              <w:jc w:val="left"/>
              <w:rPr>
                <w:sz w:val="21"/>
              </w:rPr>
            </w:pPr>
            <w:r>
              <w:rPr>
                <w:sz w:val="21"/>
              </w:rPr>
              <w:t>原料、产品仓库</w:t>
            </w:r>
          </w:p>
        </w:tc>
        <w:tc>
          <w:tcPr>
            <w:tcW w:w="931" w:type="dxa"/>
            <w:vMerge w:val="restart"/>
          </w:tcPr>
          <w:p>
            <w:pPr>
              <w:pStyle w:val="TableParagraph"/>
              <w:jc w:val="left"/>
              <w:rPr>
                <w:b/>
                <w:sz w:val="20"/>
              </w:rPr>
            </w:pPr>
          </w:p>
          <w:p>
            <w:pPr>
              <w:pStyle w:val="TableParagraph"/>
              <w:spacing w:before="152"/>
              <w:ind w:left="254"/>
              <w:jc w:val="left"/>
              <w:rPr>
                <w:sz w:val="21"/>
              </w:rPr>
            </w:pPr>
            <w:r>
              <w:rPr>
                <w:sz w:val="21"/>
              </w:rPr>
              <w:t>仓库</w:t>
            </w:r>
          </w:p>
        </w:tc>
        <w:tc>
          <w:tcPr>
            <w:tcW w:w="1080" w:type="dxa"/>
          </w:tcPr>
          <w:p>
            <w:pPr>
              <w:pStyle w:val="TableParagraph"/>
              <w:spacing w:before="5"/>
              <w:jc w:val="left"/>
              <w:rPr>
                <w:b/>
                <w:sz w:val="21"/>
              </w:rPr>
            </w:pPr>
          </w:p>
          <w:p>
            <w:pPr>
              <w:pStyle w:val="TableParagraph"/>
              <w:ind w:left="141" w:right="132"/>
              <w:rPr>
                <w:sz w:val="21"/>
              </w:rPr>
            </w:pPr>
            <w:r>
              <w:rPr>
                <w:rFonts w:ascii="Times New Roman" w:eastAsia="Times New Roman"/>
                <w:sz w:val="21"/>
              </w:rPr>
              <w:t>50kg/</w:t>
            </w:r>
            <w:r>
              <w:rPr>
                <w:sz w:val="21"/>
              </w:rPr>
              <w:t>袋</w:t>
            </w:r>
          </w:p>
        </w:tc>
        <w:tc>
          <w:tcPr>
            <w:tcW w:w="898" w:type="dxa"/>
          </w:tcPr>
          <w:p>
            <w:pPr>
              <w:pStyle w:val="TableParagraph"/>
              <w:spacing w:before="12"/>
              <w:jc w:val="left"/>
              <w:rPr>
                <w:b/>
                <w:sz w:val="21"/>
              </w:rPr>
            </w:pPr>
          </w:p>
          <w:p>
            <w:pPr>
              <w:pStyle w:val="TableParagraph"/>
              <w:ind w:left="218" w:right="209"/>
              <w:rPr>
                <w:rFonts w:ascii="Times New Roman"/>
                <w:sz w:val="21"/>
              </w:rPr>
            </w:pPr>
            <w:r>
              <w:rPr>
                <w:rFonts w:ascii="Times New Roman"/>
                <w:sz w:val="21"/>
              </w:rPr>
              <w:t>50</w:t>
            </w:r>
          </w:p>
        </w:tc>
        <w:tc>
          <w:tcPr>
            <w:tcW w:w="1263" w:type="dxa"/>
          </w:tcPr>
          <w:p>
            <w:pPr>
              <w:pStyle w:val="TableParagraph"/>
              <w:spacing w:before="5"/>
              <w:jc w:val="left"/>
              <w:rPr>
                <w:b/>
                <w:sz w:val="21"/>
              </w:rPr>
            </w:pPr>
          </w:p>
          <w:p>
            <w:pPr>
              <w:pStyle w:val="TableParagraph"/>
              <w:ind w:left="99" w:right="94"/>
              <w:rPr>
                <w:sz w:val="21"/>
              </w:rPr>
            </w:pPr>
            <w:r>
              <w:rPr>
                <w:sz w:val="21"/>
              </w:rPr>
              <w:t>氢氧化钠</w:t>
            </w:r>
          </w:p>
        </w:tc>
        <w:tc>
          <w:tcPr>
            <w:tcW w:w="1702" w:type="dxa"/>
          </w:tcPr>
          <w:p>
            <w:pPr>
              <w:pStyle w:val="TableParagraph"/>
              <w:spacing w:before="5"/>
              <w:jc w:val="left"/>
              <w:rPr>
                <w:b/>
                <w:sz w:val="21"/>
              </w:rPr>
            </w:pPr>
          </w:p>
          <w:p>
            <w:pPr>
              <w:pStyle w:val="TableParagraph"/>
              <w:ind w:left="304" w:right="297"/>
              <w:rPr>
                <w:sz w:val="21"/>
              </w:rPr>
            </w:pPr>
            <w:r>
              <w:rPr>
                <w:sz w:val="21"/>
              </w:rPr>
              <w:t>碱性腐蚀性</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2.5t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3t</w:t>
            </w:r>
          </w:p>
        </w:tc>
        <w:tc>
          <w:tcPr>
            <w:tcW w:w="1779" w:type="dxa"/>
          </w:tcPr>
          <w:p>
            <w:pPr>
              <w:pStyle w:val="TableParagraph"/>
              <w:spacing w:before="1"/>
              <w:ind w:left="150"/>
              <w:jc w:val="left"/>
              <w:rPr>
                <w:sz w:val="21"/>
              </w:rPr>
            </w:pPr>
            <w:r>
              <w:rPr>
                <w:sz w:val="21"/>
              </w:rPr>
              <w:t>对环境有危害，</w:t>
            </w:r>
          </w:p>
          <w:p>
            <w:pPr>
              <w:pStyle w:val="TableParagraph"/>
              <w:spacing w:line="270" w:lineRule="atLeast" w:before="3"/>
              <w:ind w:left="464" w:right="143" w:hanging="315"/>
              <w:jc w:val="left"/>
              <w:rPr>
                <w:sz w:val="21"/>
              </w:rPr>
            </w:pPr>
            <w:r>
              <w:rPr>
                <w:sz w:val="21"/>
              </w:rPr>
              <w:t>对水体和土壤可造成污染</w:t>
            </w:r>
          </w:p>
        </w:tc>
      </w:tr>
      <w:tr>
        <w:trPr>
          <w:trHeight w:val="273" w:hRule="atLeast"/>
        </w:trPr>
        <w:tc>
          <w:tcPr>
            <w:tcW w:w="1123" w:type="dxa"/>
            <w:vMerge/>
            <w:tcBorders>
              <w:top w:val="nil"/>
            </w:tcBorders>
          </w:tcPr>
          <w:p>
            <w:pPr>
              <w:rPr>
                <w:sz w:val="2"/>
                <w:szCs w:val="2"/>
              </w:rPr>
            </w:pPr>
          </w:p>
        </w:tc>
        <w:tc>
          <w:tcPr>
            <w:tcW w:w="1889" w:type="dxa"/>
            <w:vMerge/>
            <w:tcBorders>
              <w:top w:val="nil"/>
            </w:tcBorders>
          </w:tcPr>
          <w:p>
            <w:pPr>
              <w:rPr>
                <w:sz w:val="2"/>
                <w:szCs w:val="2"/>
              </w:rPr>
            </w:pPr>
          </w:p>
        </w:tc>
        <w:tc>
          <w:tcPr>
            <w:tcW w:w="931" w:type="dxa"/>
            <w:vMerge/>
            <w:tcBorders>
              <w:top w:val="nil"/>
            </w:tcBorders>
          </w:tcPr>
          <w:p>
            <w:pPr>
              <w:rPr>
                <w:sz w:val="2"/>
                <w:szCs w:val="2"/>
              </w:rPr>
            </w:pPr>
          </w:p>
        </w:tc>
        <w:tc>
          <w:tcPr>
            <w:tcW w:w="1080" w:type="dxa"/>
          </w:tcPr>
          <w:p>
            <w:pPr>
              <w:pStyle w:val="TableParagraph"/>
              <w:spacing w:line="252" w:lineRule="exact" w:before="1"/>
              <w:ind w:left="141" w:right="132"/>
              <w:rPr>
                <w:sz w:val="21"/>
              </w:rPr>
            </w:pPr>
            <w:r>
              <w:rPr>
                <w:rFonts w:ascii="Times New Roman" w:eastAsia="Times New Roman"/>
                <w:sz w:val="21"/>
              </w:rPr>
              <w:t>50kg/</w:t>
            </w:r>
            <w:r>
              <w:rPr>
                <w:sz w:val="21"/>
              </w:rPr>
              <w:t>袋</w:t>
            </w:r>
          </w:p>
        </w:tc>
        <w:tc>
          <w:tcPr>
            <w:tcW w:w="898" w:type="dxa"/>
          </w:tcPr>
          <w:p>
            <w:pPr>
              <w:pStyle w:val="TableParagraph"/>
              <w:spacing w:before="7"/>
              <w:ind w:left="218" w:right="209"/>
              <w:rPr>
                <w:rFonts w:ascii="Times New Roman"/>
                <w:sz w:val="21"/>
              </w:rPr>
            </w:pPr>
            <w:r>
              <w:rPr>
                <w:rFonts w:ascii="Times New Roman"/>
                <w:sz w:val="21"/>
              </w:rPr>
              <w:t>120</w:t>
            </w:r>
          </w:p>
        </w:tc>
        <w:tc>
          <w:tcPr>
            <w:tcW w:w="1263" w:type="dxa"/>
          </w:tcPr>
          <w:p>
            <w:pPr>
              <w:pStyle w:val="TableParagraph"/>
              <w:spacing w:line="252" w:lineRule="exact" w:before="1"/>
              <w:ind w:left="102" w:right="94"/>
              <w:rPr>
                <w:sz w:val="21"/>
              </w:rPr>
            </w:pPr>
            <w:r>
              <w:rPr>
                <w:sz w:val="21"/>
              </w:rPr>
              <w:t>醋酸钠</w:t>
            </w:r>
          </w:p>
        </w:tc>
        <w:tc>
          <w:tcPr>
            <w:tcW w:w="1702" w:type="dxa"/>
          </w:tcPr>
          <w:p>
            <w:pPr>
              <w:pStyle w:val="TableParagraph"/>
              <w:spacing w:before="7"/>
              <w:ind w:left="304" w:right="294"/>
              <w:rPr>
                <w:rFonts w:ascii="Times New Roman"/>
                <w:sz w:val="21"/>
              </w:rPr>
            </w:pPr>
            <w:r>
              <w:rPr>
                <w:rFonts w:ascii="Times New Roman"/>
                <w:sz w:val="21"/>
              </w:rPr>
              <w:t>--</w:t>
            </w:r>
          </w:p>
        </w:tc>
        <w:tc>
          <w:tcPr>
            <w:tcW w:w="1779" w:type="dxa"/>
          </w:tcPr>
          <w:p>
            <w:pPr>
              <w:pStyle w:val="TableParagraph"/>
              <w:spacing w:before="7"/>
              <w:ind w:left="101" w:right="96"/>
              <w:rPr>
                <w:rFonts w:ascii="Times New Roman"/>
                <w:sz w:val="21"/>
              </w:rPr>
            </w:pPr>
            <w:r>
              <w:rPr>
                <w:rFonts w:ascii="Times New Roman"/>
                <w:sz w:val="21"/>
              </w:rPr>
              <w:t>6t</w:t>
            </w:r>
          </w:p>
        </w:tc>
        <w:tc>
          <w:tcPr>
            <w:tcW w:w="1777" w:type="dxa"/>
          </w:tcPr>
          <w:p>
            <w:pPr>
              <w:pStyle w:val="TableParagraph"/>
              <w:spacing w:before="7"/>
              <w:ind w:left="340" w:right="335"/>
              <w:rPr>
                <w:rFonts w:ascii="Times New Roman"/>
                <w:sz w:val="21"/>
              </w:rPr>
            </w:pPr>
            <w:r>
              <w:rPr>
                <w:rFonts w:ascii="Times New Roman"/>
                <w:sz w:val="21"/>
              </w:rPr>
              <w:t>6t</w:t>
            </w:r>
          </w:p>
        </w:tc>
        <w:tc>
          <w:tcPr>
            <w:tcW w:w="1779" w:type="dxa"/>
          </w:tcPr>
          <w:p>
            <w:pPr>
              <w:pStyle w:val="TableParagraph"/>
              <w:spacing w:line="252" w:lineRule="exact" w:before="1"/>
              <w:ind w:left="96" w:right="96"/>
              <w:rPr>
                <w:sz w:val="21"/>
              </w:rPr>
            </w:pPr>
            <w:r>
              <w:rPr>
                <w:sz w:val="21"/>
              </w:rPr>
              <w:t>不燃</w:t>
            </w:r>
          </w:p>
        </w:tc>
      </w:tr>
      <w:tr>
        <w:trPr>
          <w:trHeight w:val="815"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7" w:right="178"/>
              <w:rPr>
                <w:sz w:val="21"/>
              </w:rPr>
            </w:pPr>
            <w:r>
              <w:rPr>
                <w:sz w:val="21"/>
              </w:rPr>
              <w:t>醋酸储罐区</w:t>
            </w:r>
          </w:p>
        </w:tc>
        <w:tc>
          <w:tcPr>
            <w:tcW w:w="931" w:type="dxa"/>
            <w:vMerge w:val="restart"/>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16"/>
              </w:rPr>
            </w:pPr>
          </w:p>
          <w:p>
            <w:pPr>
              <w:pStyle w:val="TableParagraph"/>
              <w:ind w:left="254"/>
              <w:jc w:val="left"/>
              <w:rPr>
                <w:sz w:val="21"/>
              </w:rPr>
            </w:pPr>
            <w:r>
              <w:rPr>
                <w:sz w:val="21"/>
              </w:rPr>
              <w:t>罐区</w:t>
            </w:r>
          </w:p>
        </w:tc>
        <w:tc>
          <w:tcPr>
            <w:tcW w:w="1080" w:type="dxa"/>
          </w:tcPr>
          <w:p>
            <w:pPr>
              <w:pStyle w:val="TableParagraph"/>
              <w:spacing w:line="266" w:lineRule="exact" w:before="152"/>
              <w:ind w:left="160"/>
              <w:jc w:val="left"/>
              <w:rPr>
                <w:sz w:val="21"/>
              </w:rPr>
            </w:pPr>
            <w:r>
              <w:rPr>
                <w:rFonts w:ascii="Times New Roman" w:eastAsia="Times New Roman"/>
                <w:sz w:val="21"/>
              </w:rPr>
              <w:t>250m</w:t>
            </w:r>
            <w:r>
              <w:rPr>
                <w:rFonts w:ascii="Times New Roman" w:eastAsia="Times New Roman"/>
                <w:sz w:val="21"/>
                <w:vertAlign w:val="superscript"/>
              </w:rPr>
              <w:t>3</w:t>
            </w:r>
            <w:r>
              <w:rPr>
                <w:sz w:val="21"/>
                <w:vertAlign w:val="baseline"/>
              </w:rPr>
              <w:t>、</w:t>
            </w:r>
          </w:p>
          <w:p>
            <w:pPr>
              <w:pStyle w:val="TableParagraph"/>
              <w:spacing w:line="239" w:lineRule="exact"/>
              <w:ind w:left="266"/>
              <w:jc w:val="left"/>
              <w:rPr>
                <w:rFonts w:ascii="Times New Roman"/>
                <w:sz w:val="21"/>
              </w:rPr>
            </w:pPr>
            <w:r>
              <w:rPr>
                <w:rFonts w:ascii="Times New Roman"/>
                <w:sz w:val="21"/>
              </w:rPr>
              <w:t>100m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4</w:t>
            </w:r>
          </w:p>
        </w:tc>
        <w:tc>
          <w:tcPr>
            <w:tcW w:w="1263" w:type="dxa"/>
          </w:tcPr>
          <w:p>
            <w:pPr>
              <w:pStyle w:val="TableParagraph"/>
              <w:spacing w:before="5"/>
              <w:jc w:val="left"/>
              <w:rPr>
                <w:b/>
                <w:sz w:val="21"/>
              </w:rPr>
            </w:pPr>
          </w:p>
          <w:p>
            <w:pPr>
              <w:pStyle w:val="TableParagraph"/>
              <w:ind w:left="102" w:right="94"/>
              <w:rPr>
                <w:sz w:val="21"/>
              </w:rPr>
            </w:pPr>
            <w:r>
              <w:rPr>
                <w:sz w:val="21"/>
              </w:rPr>
              <w:t>醋酸</w:t>
            </w:r>
          </w:p>
        </w:tc>
        <w:tc>
          <w:tcPr>
            <w:tcW w:w="1702" w:type="dxa"/>
          </w:tcPr>
          <w:p>
            <w:pPr>
              <w:pStyle w:val="TableParagraph"/>
              <w:spacing w:line="242" w:lineRule="auto" w:before="138"/>
              <w:ind w:left="639" w:right="-15" w:hanging="533"/>
              <w:jc w:val="left"/>
              <w:rPr>
                <w:sz w:val="21"/>
              </w:rPr>
            </w:pPr>
            <w:r>
              <w:rPr>
                <w:spacing w:val="-15"/>
                <w:sz w:val="21"/>
              </w:rPr>
              <w:t>液态、酸性腐蚀、</w:t>
            </w:r>
            <w:r>
              <w:rPr>
                <w:sz w:val="21"/>
              </w:rPr>
              <w:t>易燃</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560t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700t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0" w:lineRule="exact" w:before="1"/>
              <w:ind w:left="148"/>
              <w:jc w:val="left"/>
              <w:rPr>
                <w:sz w:val="21"/>
              </w:rPr>
            </w:pPr>
            <w:r>
              <w:rPr>
                <w:spacing w:val="-2"/>
                <w:sz w:val="21"/>
              </w:rPr>
              <w:t>土壤可造成污染</w:t>
            </w:r>
          </w:p>
        </w:tc>
      </w:tr>
      <w:tr>
        <w:trPr>
          <w:trHeight w:val="817"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7" w:right="178"/>
              <w:rPr>
                <w:sz w:val="21"/>
              </w:rPr>
            </w:pPr>
            <w:r>
              <w:rPr>
                <w:sz w:val="21"/>
              </w:rPr>
              <w:t>液氨储罐区</w:t>
            </w:r>
          </w:p>
        </w:tc>
        <w:tc>
          <w:tcPr>
            <w:tcW w:w="931" w:type="dxa"/>
            <w:vMerge/>
            <w:tcBorders>
              <w:top w:val="nil"/>
            </w:tcBorders>
          </w:tcPr>
          <w:p>
            <w:pPr>
              <w:rPr>
                <w:sz w:val="2"/>
                <w:szCs w:val="2"/>
              </w:rPr>
            </w:pPr>
          </w:p>
        </w:tc>
        <w:tc>
          <w:tcPr>
            <w:tcW w:w="1080" w:type="dxa"/>
          </w:tcPr>
          <w:p>
            <w:pPr>
              <w:pStyle w:val="TableParagraph"/>
              <w:spacing w:before="12"/>
              <w:jc w:val="left"/>
              <w:rPr>
                <w:b/>
                <w:sz w:val="21"/>
              </w:rPr>
            </w:pPr>
          </w:p>
          <w:p>
            <w:pPr>
              <w:pStyle w:val="TableParagraph"/>
              <w:ind w:left="141" w:right="132"/>
              <w:rPr>
                <w:rFonts w:ascii="Times New Roman"/>
                <w:sz w:val="21"/>
              </w:rPr>
            </w:pPr>
            <w:r>
              <w:rPr>
                <w:rFonts w:ascii="Times New Roman"/>
                <w:sz w:val="21"/>
              </w:rPr>
              <w:t>35m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2</w:t>
            </w:r>
          </w:p>
        </w:tc>
        <w:tc>
          <w:tcPr>
            <w:tcW w:w="1263" w:type="dxa"/>
          </w:tcPr>
          <w:p>
            <w:pPr>
              <w:pStyle w:val="TableParagraph"/>
              <w:spacing w:before="5"/>
              <w:jc w:val="left"/>
              <w:rPr>
                <w:b/>
                <w:sz w:val="21"/>
              </w:rPr>
            </w:pPr>
          </w:p>
          <w:p>
            <w:pPr>
              <w:pStyle w:val="TableParagraph"/>
              <w:ind w:left="102" w:right="94"/>
              <w:rPr>
                <w:sz w:val="21"/>
              </w:rPr>
            </w:pPr>
            <w:r>
              <w:rPr>
                <w:sz w:val="21"/>
              </w:rPr>
              <w:t>液氨</w:t>
            </w:r>
          </w:p>
        </w:tc>
        <w:tc>
          <w:tcPr>
            <w:tcW w:w="1702" w:type="dxa"/>
          </w:tcPr>
          <w:p>
            <w:pPr>
              <w:pStyle w:val="TableParagraph"/>
              <w:spacing w:line="244" w:lineRule="auto" w:before="138"/>
              <w:ind w:left="745" w:right="102" w:hanging="632"/>
              <w:jc w:val="left"/>
              <w:rPr>
                <w:sz w:val="21"/>
              </w:rPr>
            </w:pPr>
            <w:r>
              <w:rPr>
                <w:sz w:val="21"/>
              </w:rPr>
              <w:t>有毒、易燃、易爆</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19.7t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40t</w:t>
            </w:r>
          </w:p>
        </w:tc>
        <w:tc>
          <w:tcPr>
            <w:tcW w:w="1779" w:type="dxa"/>
          </w:tcPr>
          <w:p>
            <w:pPr>
              <w:pStyle w:val="TableParagraph"/>
              <w:spacing w:before="1"/>
              <w:ind w:left="150"/>
              <w:jc w:val="left"/>
              <w:rPr>
                <w:sz w:val="21"/>
              </w:rPr>
            </w:pPr>
            <w:r>
              <w:rPr>
                <w:spacing w:val="-3"/>
                <w:sz w:val="21"/>
              </w:rPr>
              <w:t>对环境有危害，</w:t>
            </w:r>
          </w:p>
          <w:p>
            <w:pPr>
              <w:pStyle w:val="TableParagraph"/>
              <w:spacing w:line="270" w:lineRule="atLeast" w:before="3"/>
              <w:ind w:left="148" w:right="144" w:firstLine="2"/>
              <w:jc w:val="left"/>
              <w:rPr>
                <w:sz w:val="21"/>
              </w:rPr>
            </w:pPr>
            <w:r>
              <w:rPr>
                <w:spacing w:val="-5"/>
                <w:sz w:val="21"/>
              </w:rPr>
              <w:t>对大气、水体和</w:t>
            </w:r>
            <w:r>
              <w:rPr>
                <w:spacing w:val="-4"/>
                <w:sz w:val="21"/>
              </w:rPr>
              <w:t>土壤可造成污染</w:t>
            </w:r>
          </w:p>
        </w:tc>
      </w:tr>
      <w:tr>
        <w:trPr>
          <w:trHeight w:val="815"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7" w:right="178"/>
              <w:rPr>
                <w:sz w:val="21"/>
              </w:rPr>
            </w:pPr>
            <w:r>
              <w:rPr>
                <w:sz w:val="21"/>
              </w:rPr>
              <w:t>乙腈储罐区</w:t>
            </w:r>
          </w:p>
        </w:tc>
        <w:tc>
          <w:tcPr>
            <w:tcW w:w="931" w:type="dxa"/>
            <w:vMerge/>
            <w:tcBorders>
              <w:top w:val="nil"/>
            </w:tcBorders>
          </w:tcPr>
          <w:p>
            <w:pPr>
              <w:rPr>
                <w:sz w:val="2"/>
                <w:szCs w:val="2"/>
              </w:rPr>
            </w:pPr>
          </w:p>
        </w:tc>
        <w:tc>
          <w:tcPr>
            <w:tcW w:w="1080" w:type="dxa"/>
          </w:tcPr>
          <w:p>
            <w:pPr>
              <w:pStyle w:val="TableParagraph"/>
              <w:spacing w:before="15"/>
              <w:ind w:left="141" w:right="132"/>
              <w:rPr>
                <w:sz w:val="21"/>
              </w:rPr>
            </w:pPr>
            <w:r>
              <w:rPr>
                <w:rFonts w:ascii="Times New Roman" w:eastAsia="Times New Roman"/>
                <w:sz w:val="21"/>
              </w:rPr>
              <w:t>100m</w:t>
            </w:r>
            <w:r>
              <w:rPr>
                <w:rFonts w:ascii="Times New Roman" w:eastAsia="Times New Roman"/>
                <w:sz w:val="21"/>
                <w:vertAlign w:val="superscript"/>
              </w:rPr>
              <w:t>3</w:t>
            </w:r>
            <w:r>
              <w:rPr>
                <w:sz w:val="21"/>
                <w:vertAlign w:val="baseline"/>
              </w:rPr>
              <w:t>、</w:t>
            </w:r>
          </w:p>
          <w:p>
            <w:pPr>
              <w:pStyle w:val="TableParagraph"/>
              <w:spacing w:line="267" w:lineRule="exact" w:before="2"/>
              <w:ind w:left="141" w:right="132"/>
              <w:rPr>
                <w:sz w:val="21"/>
              </w:rPr>
            </w:pPr>
            <w:r>
              <w:rPr>
                <w:rFonts w:ascii="Times New Roman" w:eastAsia="Times New Roman"/>
                <w:sz w:val="21"/>
              </w:rPr>
              <w:t>20m</w:t>
            </w:r>
            <w:r>
              <w:rPr>
                <w:rFonts w:ascii="Times New Roman" w:eastAsia="Times New Roman"/>
                <w:sz w:val="21"/>
                <w:vertAlign w:val="superscript"/>
              </w:rPr>
              <w:t>3</w:t>
            </w:r>
            <w:r>
              <w:rPr>
                <w:sz w:val="21"/>
                <w:vertAlign w:val="baseline"/>
              </w:rPr>
              <w:t>、</w:t>
            </w:r>
          </w:p>
          <w:p>
            <w:pPr>
              <w:pStyle w:val="TableParagraph"/>
              <w:spacing w:line="240" w:lineRule="exact"/>
              <w:ind w:left="141" w:right="132"/>
              <w:rPr>
                <w:rFonts w:ascii="Times New Roman"/>
                <w:sz w:val="21"/>
              </w:rPr>
            </w:pPr>
            <w:r>
              <w:rPr>
                <w:rFonts w:ascii="Times New Roman"/>
                <w:sz w:val="21"/>
              </w:rPr>
              <w:t>35m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4</w:t>
            </w:r>
          </w:p>
        </w:tc>
        <w:tc>
          <w:tcPr>
            <w:tcW w:w="1263" w:type="dxa"/>
          </w:tcPr>
          <w:p>
            <w:pPr>
              <w:pStyle w:val="TableParagraph"/>
              <w:spacing w:before="5"/>
              <w:jc w:val="left"/>
              <w:rPr>
                <w:b/>
                <w:sz w:val="21"/>
              </w:rPr>
            </w:pPr>
          </w:p>
          <w:p>
            <w:pPr>
              <w:pStyle w:val="TableParagraph"/>
              <w:ind w:left="102" w:right="94"/>
              <w:rPr>
                <w:sz w:val="21"/>
              </w:rPr>
            </w:pPr>
            <w:r>
              <w:rPr>
                <w:sz w:val="21"/>
              </w:rPr>
              <w:t>乙腈</w:t>
            </w:r>
          </w:p>
        </w:tc>
        <w:tc>
          <w:tcPr>
            <w:tcW w:w="1702" w:type="dxa"/>
          </w:tcPr>
          <w:p>
            <w:pPr>
              <w:pStyle w:val="TableParagraph"/>
              <w:spacing w:before="5"/>
              <w:jc w:val="left"/>
              <w:rPr>
                <w:b/>
                <w:sz w:val="21"/>
              </w:rPr>
            </w:pPr>
          </w:p>
          <w:p>
            <w:pPr>
              <w:pStyle w:val="TableParagraph"/>
              <w:ind w:left="304" w:right="297"/>
              <w:rPr>
                <w:sz w:val="21"/>
              </w:rPr>
            </w:pPr>
            <w:r>
              <w:rPr>
                <w:sz w:val="21"/>
              </w:rPr>
              <w:t>易燃、易爆</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120t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141.5t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0" w:lineRule="exact" w:before="1"/>
              <w:ind w:left="148"/>
              <w:jc w:val="left"/>
              <w:rPr>
                <w:sz w:val="21"/>
              </w:rPr>
            </w:pPr>
            <w:r>
              <w:rPr>
                <w:spacing w:val="-2"/>
                <w:sz w:val="21"/>
              </w:rPr>
              <w:t>土壤可造成污染</w:t>
            </w:r>
          </w:p>
        </w:tc>
      </w:tr>
      <w:tr>
        <w:trPr>
          <w:trHeight w:val="818"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5" w:right="178"/>
              <w:rPr>
                <w:sz w:val="21"/>
              </w:rPr>
            </w:pPr>
            <w:r>
              <w:rPr>
                <w:sz w:val="21"/>
              </w:rPr>
              <w:t>废乙腈储罐区</w:t>
            </w:r>
          </w:p>
        </w:tc>
        <w:tc>
          <w:tcPr>
            <w:tcW w:w="931" w:type="dxa"/>
            <w:vMerge/>
            <w:tcBorders>
              <w:top w:val="nil"/>
            </w:tcBorders>
          </w:tcPr>
          <w:p>
            <w:pPr>
              <w:rPr>
                <w:sz w:val="2"/>
                <w:szCs w:val="2"/>
              </w:rPr>
            </w:pPr>
          </w:p>
        </w:tc>
        <w:tc>
          <w:tcPr>
            <w:tcW w:w="1080" w:type="dxa"/>
          </w:tcPr>
          <w:p>
            <w:pPr>
              <w:pStyle w:val="TableParagraph"/>
              <w:spacing w:before="12"/>
              <w:jc w:val="left"/>
              <w:rPr>
                <w:b/>
                <w:sz w:val="21"/>
              </w:rPr>
            </w:pPr>
          </w:p>
          <w:p>
            <w:pPr>
              <w:pStyle w:val="TableParagraph"/>
              <w:ind w:left="141" w:right="132"/>
              <w:rPr>
                <w:rFonts w:ascii="Times New Roman"/>
                <w:sz w:val="21"/>
              </w:rPr>
            </w:pPr>
            <w:r>
              <w:rPr>
                <w:rFonts w:ascii="Times New Roman"/>
                <w:sz w:val="21"/>
              </w:rPr>
              <w:t>100m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5"/>
              <w:jc w:val="left"/>
              <w:rPr>
                <w:b/>
                <w:sz w:val="21"/>
              </w:rPr>
            </w:pPr>
          </w:p>
          <w:p>
            <w:pPr>
              <w:pStyle w:val="TableParagraph"/>
              <w:ind w:left="102" w:right="94"/>
              <w:rPr>
                <w:sz w:val="21"/>
              </w:rPr>
            </w:pPr>
            <w:r>
              <w:rPr>
                <w:sz w:val="21"/>
              </w:rPr>
              <w:t>废乙腈</w:t>
            </w:r>
          </w:p>
        </w:tc>
        <w:tc>
          <w:tcPr>
            <w:tcW w:w="1702" w:type="dxa"/>
          </w:tcPr>
          <w:p>
            <w:pPr>
              <w:pStyle w:val="TableParagraph"/>
              <w:spacing w:before="5"/>
              <w:jc w:val="left"/>
              <w:rPr>
                <w:b/>
                <w:sz w:val="21"/>
              </w:rPr>
            </w:pPr>
          </w:p>
          <w:p>
            <w:pPr>
              <w:pStyle w:val="TableParagraph"/>
              <w:ind w:left="304" w:right="297"/>
              <w:rPr>
                <w:sz w:val="21"/>
              </w:rPr>
            </w:pPr>
            <w:r>
              <w:rPr>
                <w:sz w:val="21"/>
              </w:rPr>
              <w:t>易燃、易爆</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300t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300t</w:t>
            </w:r>
          </w:p>
        </w:tc>
        <w:tc>
          <w:tcPr>
            <w:tcW w:w="1779" w:type="dxa"/>
          </w:tcPr>
          <w:p>
            <w:pPr>
              <w:pStyle w:val="TableParagraph"/>
              <w:spacing w:before="1"/>
              <w:ind w:left="150"/>
              <w:jc w:val="left"/>
              <w:rPr>
                <w:sz w:val="21"/>
              </w:rPr>
            </w:pPr>
            <w:r>
              <w:rPr>
                <w:spacing w:val="-3"/>
                <w:sz w:val="21"/>
              </w:rPr>
              <w:t>对环境有危害，</w:t>
            </w:r>
          </w:p>
          <w:p>
            <w:pPr>
              <w:pStyle w:val="TableParagraph"/>
              <w:spacing w:line="270" w:lineRule="atLeast" w:before="3"/>
              <w:ind w:left="148" w:right="144" w:firstLine="2"/>
              <w:jc w:val="left"/>
              <w:rPr>
                <w:sz w:val="21"/>
              </w:rPr>
            </w:pPr>
            <w:r>
              <w:rPr>
                <w:spacing w:val="-5"/>
                <w:sz w:val="21"/>
              </w:rPr>
              <w:t>对大气、水体和</w:t>
            </w:r>
            <w:r>
              <w:rPr>
                <w:spacing w:val="-4"/>
                <w:sz w:val="21"/>
              </w:rPr>
              <w:t>土壤可造成污染</w:t>
            </w:r>
          </w:p>
        </w:tc>
      </w:tr>
      <w:tr>
        <w:trPr>
          <w:trHeight w:val="818"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5" w:right="178"/>
              <w:rPr>
                <w:sz w:val="21"/>
              </w:rPr>
            </w:pPr>
            <w:r>
              <w:rPr>
                <w:sz w:val="21"/>
              </w:rPr>
              <w:t>乙二醇储罐区</w:t>
            </w:r>
          </w:p>
        </w:tc>
        <w:tc>
          <w:tcPr>
            <w:tcW w:w="931" w:type="dxa"/>
            <w:vMerge/>
            <w:tcBorders>
              <w:top w:val="nil"/>
            </w:tcBorders>
          </w:tcPr>
          <w:p>
            <w:pPr>
              <w:rPr>
                <w:sz w:val="2"/>
                <w:szCs w:val="2"/>
              </w:rPr>
            </w:pPr>
          </w:p>
        </w:tc>
        <w:tc>
          <w:tcPr>
            <w:tcW w:w="1080" w:type="dxa"/>
          </w:tcPr>
          <w:p>
            <w:pPr>
              <w:pStyle w:val="TableParagraph"/>
              <w:spacing w:before="12"/>
              <w:jc w:val="left"/>
              <w:rPr>
                <w:b/>
                <w:sz w:val="21"/>
              </w:rPr>
            </w:pPr>
          </w:p>
          <w:p>
            <w:pPr>
              <w:pStyle w:val="TableParagraph"/>
              <w:ind w:left="141" w:right="132"/>
              <w:rPr>
                <w:rFonts w:ascii="Times New Roman"/>
                <w:sz w:val="21"/>
              </w:rPr>
            </w:pPr>
            <w:r>
              <w:rPr>
                <w:rFonts w:ascii="Times New Roman"/>
                <w:sz w:val="21"/>
              </w:rPr>
              <w:t>250m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5"/>
              <w:jc w:val="left"/>
              <w:rPr>
                <w:b/>
                <w:sz w:val="21"/>
              </w:rPr>
            </w:pPr>
          </w:p>
          <w:p>
            <w:pPr>
              <w:pStyle w:val="TableParagraph"/>
              <w:ind w:left="102" w:right="94"/>
              <w:rPr>
                <w:sz w:val="21"/>
              </w:rPr>
            </w:pPr>
            <w:r>
              <w:rPr>
                <w:sz w:val="21"/>
              </w:rPr>
              <w:t>乙二醇</w:t>
            </w:r>
          </w:p>
        </w:tc>
        <w:tc>
          <w:tcPr>
            <w:tcW w:w="1702" w:type="dxa"/>
          </w:tcPr>
          <w:p>
            <w:pPr>
              <w:pStyle w:val="TableParagraph"/>
              <w:spacing w:before="5"/>
              <w:jc w:val="left"/>
              <w:rPr>
                <w:b/>
                <w:sz w:val="21"/>
              </w:rPr>
            </w:pPr>
          </w:p>
          <w:p>
            <w:pPr>
              <w:pStyle w:val="TableParagraph"/>
              <w:ind w:left="304" w:right="297"/>
              <w:rPr>
                <w:sz w:val="21"/>
              </w:rPr>
            </w:pPr>
            <w:r>
              <w:rPr>
                <w:sz w:val="21"/>
              </w:rPr>
              <w:t>低毒、易燃</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235t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252t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2" w:lineRule="exact" w:before="1"/>
              <w:ind w:left="148"/>
              <w:jc w:val="left"/>
              <w:rPr>
                <w:sz w:val="21"/>
              </w:rPr>
            </w:pPr>
            <w:r>
              <w:rPr>
                <w:spacing w:val="-2"/>
                <w:sz w:val="21"/>
              </w:rPr>
              <w:t>土壤可造成污染</w:t>
            </w:r>
          </w:p>
        </w:tc>
      </w:tr>
      <w:tr>
        <w:trPr>
          <w:trHeight w:val="815"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5" w:right="178"/>
              <w:rPr>
                <w:sz w:val="21"/>
              </w:rPr>
            </w:pPr>
            <w:r>
              <w:rPr>
                <w:sz w:val="21"/>
              </w:rPr>
              <w:t>丙二醇储罐区</w:t>
            </w:r>
          </w:p>
        </w:tc>
        <w:tc>
          <w:tcPr>
            <w:tcW w:w="931" w:type="dxa"/>
            <w:vMerge/>
            <w:tcBorders>
              <w:top w:val="nil"/>
            </w:tcBorders>
          </w:tcPr>
          <w:p>
            <w:pPr>
              <w:rPr>
                <w:sz w:val="2"/>
                <w:szCs w:val="2"/>
              </w:rPr>
            </w:pPr>
          </w:p>
        </w:tc>
        <w:tc>
          <w:tcPr>
            <w:tcW w:w="1080" w:type="dxa"/>
          </w:tcPr>
          <w:p>
            <w:pPr>
              <w:pStyle w:val="TableParagraph"/>
              <w:spacing w:before="12"/>
              <w:jc w:val="left"/>
              <w:rPr>
                <w:b/>
                <w:sz w:val="21"/>
              </w:rPr>
            </w:pPr>
          </w:p>
          <w:p>
            <w:pPr>
              <w:pStyle w:val="TableParagraph"/>
              <w:ind w:left="141" w:right="132"/>
              <w:rPr>
                <w:rFonts w:ascii="Times New Roman"/>
                <w:sz w:val="21"/>
              </w:rPr>
            </w:pPr>
            <w:r>
              <w:rPr>
                <w:rFonts w:ascii="Times New Roman"/>
                <w:sz w:val="21"/>
              </w:rPr>
              <w:t>250m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5"/>
              <w:jc w:val="left"/>
              <w:rPr>
                <w:b/>
                <w:sz w:val="21"/>
              </w:rPr>
            </w:pPr>
          </w:p>
          <w:p>
            <w:pPr>
              <w:pStyle w:val="TableParagraph"/>
              <w:ind w:left="102" w:right="94"/>
              <w:rPr>
                <w:sz w:val="21"/>
              </w:rPr>
            </w:pPr>
            <w:r>
              <w:rPr>
                <w:sz w:val="21"/>
              </w:rPr>
              <w:t>丙二醇</w:t>
            </w:r>
          </w:p>
        </w:tc>
        <w:tc>
          <w:tcPr>
            <w:tcW w:w="1702" w:type="dxa"/>
          </w:tcPr>
          <w:p>
            <w:pPr>
              <w:pStyle w:val="TableParagraph"/>
              <w:spacing w:before="5"/>
              <w:jc w:val="left"/>
              <w:rPr>
                <w:b/>
                <w:sz w:val="21"/>
              </w:rPr>
            </w:pPr>
          </w:p>
          <w:p>
            <w:pPr>
              <w:pStyle w:val="TableParagraph"/>
              <w:ind w:left="304" w:right="297"/>
              <w:rPr>
                <w:sz w:val="21"/>
              </w:rPr>
            </w:pPr>
            <w:r>
              <w:rPr>
                <w:sz w:val="21"/>
              </w:rPr>
              <w:t>液体、不燃</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235t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252t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0" w:lineRule="exact" w:before="1"/>
              <w:ind w:left="148"/>
              <w:jc w:val="left"/>
              <w:rPr>
                <w:sz w:val="21"/>
              </w:rPr>
            </w:pPr>
            <w:r>
              <w:rPr>
                <w:spacing w:val="-2"/>
                <w:sz w:val="21"/>
              </w:rPr>
              <w:t>土壤可造成污染</w:t>
            </w:r>
          </w:p>
        </w:tc>
      </w:tr>
      <w:tr>
        <w:trPr>
          <w:trHeight w:val="818" w:hRule="atLeast"/>
        </w:trPr>
        <w:tc>
          <w:tcPr>
            <w:tcW w:w="1123" w:type="dxa"/>
            <w:vMerge/>
            <w:tcBorders>
              <w:top w:val="nil"/>
            </w:tcBorders>
          </w:tcPr>
          <w:p>
            <w:pPr>
              <w:rPr>
                <w:sz w:val="2"/>
                <w:szCs w:val="2"/>
              </w:rPr>
            </w:pPr>
          </w:p>
        </w:tc>
        <w:tc>
          <w:tcPr>
            <w:tcW w:w="1889" w:type="dxa"/>
          </w:tcPr>
          <w:p>
            <w:pPr>
              <w:pStyle w:val="TableParagraph"/>
              <w:spacing w:before="5"/>
              <w:jc w:val="left"/>
              <w:rPr>
                <w:b/>
                <w:sz w:val="21"/>
              </w:rPr>
            </w:pPr>
          </w:p>
          <w:p>
            <w:pPr>
              <w:pStyle w:val="TableParagraph"/>
              <w:ind w:left="187" w:right="178"/>
              <w:rPr>
                <w:sz w:val="21"/>
              </w:rPr>
            </w:pPr>
            <w:r>
              <w:rPr>
                <w:sz w:val="21"/>
              </w:rPr>
              <w:t>氨水储罐区</w:t>
            </w:r>
          </w:p>
        </w:tc>
        <w:tc>
          <w:tcPr>
            <w:tcW w:w="931" w:type="dxa"/>
            <w:vMerge/>
            <w:tcBorders>
              <w:top w:val="nil"/>
            </w:tcBorders>
          </w:tcPr>
          <w:p>
            <w:pPr>
              <w:rPr>
                <w:sz w:val="2"/>
                <w:szCs w:val="2"/>
              </w:rPr>
            </w:pPr>
          </w:p>
        </w:tc>
        <w:tc>
          <w:tcPr>
            <w:tcW w:w="1080" w:type="dxa"/>
          </w:tcPr>
          <w:p>
            <w:pPr>
              <w:pStyle w:val="TableParagraph"/>
              <w:spacing w:before="12"/>
              <w:jc w:val="left"/>
              <w:rPr>
                <w:b/>
                <w:sz w:val="21"/>
              </w:rPr>
            </w:pPr>
          </w:p>
          <w:p>
            <w:pPr>
              <w:pStyle w:val="TableParagraph"/>
              <w:ind w:left="141" w:right="132"/>
              <w:rPr>
                <w:rFonts w:ascii="Times New Roman"/>
                <w:sz w:val="21"/>
              </w:rPr>
            </w:pPr>
            <w:r>
              <w:rPr>
                <w:rFonts w:ascii="Times New Roman"/>
                <w:sz w:val="21"/>
              </w:rPr>
              <w:t>30m</w:t>
            </w:r>
            <w:r>
              <w:rPr>
                <w:rFonts w:ascii="Times New Roman"/>
                <w:sz w:val="21"/>
                <w:vertAlign w:val="superscript"/>
              </w:rPr>
              <w:t>3</w:t>
            </w:r>
          </w:p>
        </w:tc>
        <w:tc>
          <w:tcPr>
            <w:tcW w:w="898" w:type="dxa"/>
          </w:tcPr>
          <w:p>
            <w:pPr>
              <w:pStyle w:val="TableParagraph"/>
              <w:spacing w:before="12"/>
              <w:jc w:val="left"/>
              <w:rPr>
                <w:b/>
                <w:sz w:val="21"/>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5"/>
              <w:jc w:val="left"/>
              <w:rPr>
                <w:b/>
                <w:sz w:val="21"/>
              </w:rPr>
            </w:pPr>
          </w:p>
          <w:p>
            <w:pPr>
              <w:pStyle w:val="TableParagraph"/>
              <w:ind w:left="102" w:right="94"/>
              <w:rPr>
                <w:sz w:val="21"/>
              </w:rPr>
            </w:pPr>
            <w:r>
              <w:rPr>
                <w:sz w:val="21"/>
              </w:rPr>
              <w:t>氨水</w:t>
            </w:r>
          </w:p>
        </w:tc>
        <w:tc>
          <w:tcPr>
            <w:tcW w:w="1702" w:type="dxa"/>
          </w:tcPr>
          <w:p>
            <w:pPr>
              <w:pStyle w:val="TableParagraph"/>
              <w:spacing w:line="244" w:lineRule="auto" w:before="137"/>
              <w:ind w:left="745" w:right="102" w:hanging="632"/>
              <w:jc w:val="left"/>
              <w:rPr>
                <w:sz w:val="21"/>
              </w:rPr>
            </w:pPr>
            <w:r>
              <w:rPr>
                <w:sz w:val="21"/>
              </w:rPr>
              <w:t>液态、碱性腐蚀性</w:t>
            </w:r>
          </w:p>
        </w:tc>
        <w:tc>
          <w:tcPr>
            <w:tcW w:w="1779" w:type="dxa"/>
          </w:tcPr>
          <w:p>
            <w:pPr>
              <w:pStyle w:val="TableParagraph"/>
              <w:spacing w:before="12"/>
              <w:jc w:val="left"/>
              <w:rPr>
                <w:b/>
                <w:sz w:val="21"/>
              </w:rPr>
            </w:pPr>
          </w:p>
          <w:p>
            <w:pPr>
              <w:pStyle w:val="TableParagraph"/>
              <w:ind w:left="101" w:right="96"/>
              <w:rPr>
                <w:rFonts w:ascii="Times New Roman"/>
                <w:sz w:val="21"/>
              </w:rPr>
            </w:pPr>
            <w:r>
              <w:rPr>
                <w:rFonts w:ascii="Times New Roman"/>
                <w:sz w:val="21"/>
              </w:rPr>
              <w:t>25t</w:t>
            </w:r>
          </w:p>
        </w:tc>
        <w:tc>
          <w:tcPr>
            <w:tcW w:w="1777" w:type="dxa"/>
          </w:tcPr>
          <w:p>
            <w:pPr>
              <w:pStyle w:val="TableParagraph"/>
              <w:spacing w:before="12"/>
              <w:jc w:val="left"/>
              <w:rPr>
                <w:b/>
                <w:sz w:val="21"/>
              </w:rPr>
            </w:pPr>
          </w:p>
          <w:p>
            <w:pPr>
              <w:pStyle w:val="TableParagraph"/>
              <w:ind w:left="340" w:right="335"/>
              <w:rPr>
                <w:rFonts w:ascii="Times New Roman"/>
                <w:sz w:val="21"/>
              </w:rPr>
            </w:pPr>
            <w:r>
              <w:rPr>
                <w:rFonts w:ascii="Times New Roman"/>
                <w:sz w:val="21"/>
              </w:rPr>
              <w:t>25t</w:t>
            </w:r>
          </w:p>
        </w:tc>
        <w:tc>
          <w:tcPr>
            <w:tcW w:w="1779" w:type="dxa"/>
          </w:tcPr>
          <w:p>
            <w:pPr>
              <w:pStyle w:val="TableParagraph"/>
              <w:spacing w:before="1"/>
              <w:ind w:left="150"/>
              <w:jc w:val="left"/>
              <w:rPr>
                <w:sz w:val="21"/>
              </w:rPr>
            </w:pPr>
            <w:r>
              <w:rPr>
                <w:spacing w:val="-3"/>
                <w:sz w:val="21"/>
              </w:rPr>
              <w:t>对环境有危害，</w:t>
            </w:r>
          </w:p>
          <w:p>
            <w:pPr>
              <w:pStyle w:val="TableParagraph"/>
              <w:spacing w:line="270" w:lineRule="atLeast" w:before="3"/>
              <w:ind w:left="148" w:right="144" w:firstLine="2"/>
              <w:jc w:val="left"/>
              <w:rPr>
                <w:sz w:val="21"/>
              </w:rPr>
            </w:pPr>
            <w:r>
              <w:rPr>
                <w:spacing w:val="-5"/>
                <w:sz w:val="21"/>
              </w:rPr>
              <w:t>对大气、水体和</w:t>
            </w:r>
            <w:r>
              <w:rPr>
                <w:spacing w:val="-4"/>
                <w:sz w:val="21"/>
              </w:rPr>
              <w:t>土壤可造成污染</w:t>
            </w:r>
          </w:p>
        </w:tc>
      </w:tr>
      <w:tr>
        <w:trPr>
          <w:trHeight w:val="544" w:hRule="atLeast"/>
        </w:trPr>
        <w:tc>
          <w:tcPr>
            <w:tcW w:w="1123" w:type="dxa"/>
            <w:vMerge/>
            <w:tcBorders>
              <w:top w:val="nil"/>
            </w:tcBorders>
          </w:tcPr>
          <w:p>
            <w:pPr>
              <w:rPr>
                <w:sz w:val="2"/>
                <w:szCs w:val="2"/>
              </w:rPr>
            </w:pPr>
          </w:p>
        </w:tc>
        <w:tc>
          <w:tcPr>
            <w:tcW w:w="1889" w:type="dxa"/>
          </w:tcPr>
          <w:p>
            <w:pPr>
              <w:pStyle w:val="TableParagraph"/>
              <w:spacing w:before="1"/>
              <w:ind w:left="188" w:right="176"/>
              <w:rPr>
                <w:sz w:val="21"/>
              </w:rPr>
            </w:pPr>
            <w:r>
              <w:rPr>
                <w:sz w:val="21"/>
              </w:rPr>
              <w:t>多元醇混合酯储</w:t>
            </w:r>
          </w:p>
          <w:p>
            <w:pPr>
              <w:pStyle w:val="TableParagraph"/>
              <w:spacing w:line="252" w:lineRule="exact" w:before="2"/>
              <w:ind w:left="185" w:right="178"/>
              <w:rPr>
                <w:sz w:val="21"/>
              </w:rPr>
            </w:pPr>
            <w:r>
              <w:rPr>
                <w:sz w:val="21"/>
              </w:rPr>
              <w:t>罐区</w:t>
            </w:r>
          </w:p>
        </w:tc>
        <w:tc>
          <w:tcPr>
            <w:tcW w:w="931" w:type="dxa"/>
            <w:vMerge/>
            <w:tcBorders>
              <w:top w:val="nil"/>
            </w:tcBorders>
          </w:tcPr>
          <w:p>
            <w:pPr>
              <w:rPr>
                <w:sz w:val="2"/>
                <w:szCs w:val="2"/>
              </w:rPr>
            </w:pPr>
          </w:p>
        </w:tc>
        <w:tc>
          <w:tcPr>
            <w:tcW w:w="1080" w:type="dxa"/>
          </w:tcPr>
          <w:p>
            <w:pPr>
              <w:pStyle w:val="TableParagraph"/>
              <w:spacing w:before="144"/>
              <w:ind w:left="141" w:right="132"/>
              <w:rPr>
                <w:rFonts w:ascii="Times New Roman"/>
                <w:sz w:val="21"/>
              </w:rPr>
            </w:pPr>
            <w:r>
              <w:rPr>
                <w:rFonts w:ascii="Times New Roman"/>
                <w:sz w:val="21"/>
              </w:rPr>
              <w:t>250m</w:t>
            </w:r>
            <w:r>
              <w:rPr>
                <w:rFonts w:ascii="Times New Roman"/>
                <w:sz w:val="21"/>
                <w:vertAlign w:val="superscript"/>
              </w:rPr>
              <w:t>3</w:t>
            </w:r>
          </w:p>
        </w:tc>
        <w:tc>
          <w:tcPr>
            <w:tcW w:w="898" w:type="dxa"/>
          </w:tcPr>
          <w:p>
            <w:pPr>
              <w:pStyle w:val="TableParagraph"/>
              <w:spacing w:before="144"/>
              <w:ind w:left="9"/>
              <w:rPr>
                <w:rFonts w:ascii="Times New Roman"/>
                <w:sz w:val="21"/>
              </w:rPr>
            </w:pPr>
            <w:r>
              <w:rPr>
                <w:rFonts w:ascii="Times New Roman"/>
                <w:w w:val="100"/>
                <w:sz w:val="21"/>
              </w:rPr>
              <w:t>1</w:t>
            </w:r>
          </w:p>
        </w:tc>
        <w:tc>
          <w:tcPr>
            <w:tcW w:w="1263" w:type="dxa"/>
          </w:tcPr>
          <w:p>
            <w:pPr>
              <w:pStyle w:val="TableParagraph"/>
              <w:spacing w:before="1"/>
              <w:ind w:left="104" w:right="94"/>
              <w:rPr>
                <w:sz w:val="21"/>
              </w:rPr>
            </w:pPr>
            <w:r>
              <w:rPr>
                <w:sz w:val="21"/>
              </w:rPr>
              <w:t>多元醇混</w:t>
            </w:r>
          </w:p>
          <w:p>
            <w:pPr>
              <w:pStyle w:val="TableParagraph"/>
              <w:spacing w:line="252" w:lineRule="exact" w:before="2"/>
              <w:ind w:left="102" w:right="94"/>
              <w:rPr>
                <w:sz w:val="21"/>
              </w:rPr>
            </w:pPr>
            <w:r>
              <w:rPr>
                <w:sz w:val="21"/>
              </w:rPr>
              <w:t>合酯</w:t>
            </w:r>
          </w:p>
        </w:tc>
        <w:tc>
          <w:tcPr>
            <w:tcW w:w="1702" w:type="dxa"/>
          </w:tcPr>
          <w:p>
            <w:pPr>
              <w:pStyle w:val="TableParagraph"/>
              <w:spacing w:before="138"/>
              <w:ind w:left="304" w:right="297"/>
              <w:rPr>
                <w:sz w:val="21"/>
              </w:rPr>
            </w:pPr>
            <w:r>
              <w:rPr>
                <w:sz w:val="21"/>
              </w:rPr>
              <w:t>液态、可燃</w:t>
            </w:r>
          </w:p>
        </w:tc>
        <w:tc>
          <w:tcPr>
            <w:tcW w:w="1779" w:type="dxa"/>
          </w:tcPr>
          <w:p>
            <w:pPr>
              <w:pStyle w:val="TableParagraph"/>
              <w:spacing w:before="144"/>
              <w:ind w:left="101" w:right="96"/>
              <w:rPr>
                <w:rFonts w:ascii="Times New Roman"/>
                <w:sz w:val="21"/>
              </w:rPr>
            </w:pPr>
            <w:r>
              <w:rPr>
                <w:rFonts w:ascii="Times New Roman"/>
                <w:sz w:val="21"/>
              </w:rPr>
              <w:t>250t</w:t>
            </w:r>
          </w:p>
        </w:tc>
        <w:tc>
          <w:tcPr>
            <w:tcW w:w="1777" w:type="dxa"/>
          </w:tcPr>
          <w:p>
            <w:pPr>
              <w:pStyle w:val="TableParagraph"/>
              <w:spacing w:before="144"/>
              <w:ind w:left="340" w:right="335"/>
              <w:rPr>
                <w:rFonts w:ascii="Times New Roman"/>
                <w:sz w:val="21"/>
              </w:rPr>
            </w:pPr>
            <w:r>
              <w:rPr>
                <w:rFonts w:ascii="Times New Roman"/>
                <w:sz w:val="21"/>
              </w:rPr>
              <w:t>300t</w:t>
            </w:r>
          </w:p>
        </w:tc>
        <w:tc>
          <w:tcPr>
            <w:tcW w:w="1779" w:type="dxa"/>
          </w:tcPr>
          <w:p>
            <w:pPr>
              <w:pStyle w:val="TableParagraph"/>
              <w:spacing w:before="1"/>
              <w:ind w:left="150"/>
              <w:jc w:val="left"/>
              <w:rPr>
                <w:sz w:val="21"/>
              </w:rPr>
            </w:pPr>
            <w:r>
              <w:rPr>
                <w:spacing w:val="-3"/>
                <w:sz w:val="21"/>
              </w:rPr>
              <w:t>对环境有危害，</w:t>
            </w:r>
          </w:p>
          <w:p>
            <w:pPr>
              <w:pStyle w:val="TableParagraph"/>
              <w:spacing w:line="252" w:lineRule="exact" w:before="2"/>
              <w:ind w:left="150"/>
              <w:jc w:val="left"/>
              <w:rPr>
                <w:sz w:val="21"/>
              </w:rPr>
            </w:pPr>
            <w:r>
              <w:rPr>
                <w:spacing w:val="-2"/>
                <w:sz w:val="21"/>
              </w:rPr>
              <w:t>对水体可造成污</w:t>
            </w:r>
          </w:p>
        </w:tc>
      </w:tr>
    </w:tbl>
    <w:p>
      <w:pPr>
        <w:pStyle w:val="BodyText"/>
        <w:rPr>
          <w:b/>
          <w:sz w:val="20"/>
        </w:rPr>
      </w:pPr>
    </w:p>
    <w:p>
      <w:pPr>
        <w:pStyle w:val="BodyText"/>
        <w:spacing w:before="9"/>
        <w:rPr>
          <w:b/>
          <w:sz w:val="27"/>
        </w:rPr>
      </w:pPr>
      <w:r>
        <w:rPr/>
        <w:pict>
          <v:line style="position:absolute;mso-position-horizontal-relative:page;mso-position-vertical-relative:paragraph;z-index:-251627520;mso-wrap-distance-left:0;mso-wrap-distance-right:0" from="55.200001pt,19.947500pt" to="758.280001pt,19.947500pt" stroked="true" strokeweight=".48pt" strokecolor="#000000">
            <v:stroke dashstyle="solid"/>
            <w10:wrap type="topAndBottom"/>
          </v:line>
        </w:pict>
      </w:r>
    </w:p>
    <w:p>
      <w:pPr>
        <w:spacing w:after="0"/>
        <w:rPr>
          <w:sz w:val="27"/>
        </w:rPr>
        <w:sectPr>
          <w:footerReference w:type="default" r:id="rId40"/>
          <w:pgSz w:w="16840" w:h="11910" w:orient="landscape"/>
          <w:pgMar w:footer="951" w:header="0" w:top="1100" w:bottom="1140" w:left="920" w:right="148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1889"/>
        <w:gridCol w:w="931"/>
        <w:gridCol w:w="1080"/>
        <w:gridCol w:w="898"/>
        <w:gridCol w:w="1263"/>
        <w:gridCol w:w="1702"/>
        <w:gridCol w:w="1779"/>
        <w:gridCol w:w="1777"/>
        <w:gridCol w:w="1779"/>
      </w:tblGrid>
      <w:tr>
        <w:trPr>
          <w:trHeight w:val="270" w:hRule="atLeast"/>
        </w:trPr>
        <w:tc>
          <w:tcPr>
            <w:tcW w:w="1123" w:type="dxa"/>
          </w:tcPr>
          <w:p>
            <w:pPr>
              <w:pStyle w:val="TableParagraph"/>
              <w:jc w:val="left"/>
              <w:rPr>
                <w:rFonts w:ascii="Times New Roman"/>
                <w:sz w:val="20"/>
              </w:rPr>
            </w:pPr>
          </w:p>
        </w:tc>
        <w:tc>
          <w:tcPr>
            <w:tcW w:w="1889" w:type="dxa"/>
          </w:tcPr>
          <w:p>
            <w:pPr>
              <w:pStyle w:val="TableParagraph"/>
              <w:jc w:val="left"/>
              <w:rPr>
                <w:rFonts w:ascii="Times New Roman"/>
                <w:sz w:val="20"/>
              </w:rPr>
            </w:pPr>
          </w:p>
        </w:tc>
        <w:tc>
          <w:tcPr>
            <w:tcW w:w="931" w:type="dxa"/>
          </w:tcPr>
          <w:p>
            <w:pPr>
              <w:pStyle w:val="TableParagraph"/>
              <w:jc w:val="left"/>
              <w:rPr>
                <w:rFonts w:ascii="Times New Roman"/>
                <w:sz w:val="20"/>
              </w:rPr>
            </w:pPr>
          </w:p>
        </w:tc>
        <w:tc>
          <w:tcPr>
            <w:tcW w:w="1080" w:type="dxa"/>
          </w:tcPr>
          <w:p>
            <w:pPr>
              <w:pStyle w:val="TableParagraph"/>
              <w:jc w:val="left"/>
              <w:rPr>
                <w:rFonts w:ascii="Times New Roman"/>
                <w:sz w:val="20"/>
              </w:rPr>
            </w:pPr>
          </w:p>
        </w:tc>
        <w:tc>
          <w:tcPr>
            <w:tcW w:w="898" w:type="dxa"/>
          </w:tcPr>
          <w:p>
            <w:pPr>
              <w:pStyle w:val="TableParagraph"/>
              <w:jc w:val="left"/>
              <w:rPr>
                <w:rFonts w:ascii="Times New Roman"/>
                <w:sz w:val="20"/>
              </w:rPr>
            </w:pPr>
          </w:p>
        </w:tc>
        <w:tc>
          <w:tcPr>
            <w:tcW w:w="1263" w:type="dxa"/>
          </w:tcPr>
          <w:p>
            <w:pPr>
              <w:pStyle w:val="TableParagraph"/>
              <w:jc w:val="left"/>
              <w:rPr>
                <w:rFonts w:ascii="Times New Roman"/>
                <w:sz w:val="20"/>
              </w:rPr>
            </w:pPr>
          </w:p>
        </w:tc>
        <w:tc>
          <w:tcPr>
            <w:tcW w:w="1702" w:type="dxa"/>
          </w:tcPr>
          <w:p>
            <w:pPr>
              <w:pStyle w:val="TableParagraph"/>
              <w:jc w:val="left"/>
              <w:rPr>
                <w:rFonts w:ascii="Times New Roman"/>
                <w:sz w:val="20"/>
              </w:rPr>
            </w:pPr>
          </w:p>
        </w:tc>
        <w:tc>
          <w:tcPr>
            <w:tcW w:w="1779" w:type="dxa"/>
          </w:tcPr>
          <w:p>
            <w:pPr>
              <w:pStyle w:val="TableParagraph"/>
              <w:jc w:val="left"/>
              <w:rPr>
                <w:rFonts w:ascii="Times New Roman"/>
                <w:sz w:val="20"/>
              </w:rPr>
            </w:pPr>
          </w:p>
        </w:tc>
        <w:tc>
          <w:tcPr>
            <w:tcW w:w="1777" w:type="dxa"/>
          </w:tcPr>
          <w:p>
            <w:pPr>
              <w:pStyle w:val="TableParagraph"/>
              <w:jc w:val="left"/>
              <w:rPr>
                <w:rFonts w:ascii="Times New Roman"/>
                <w:sz w:val="20"/>
              </w:rPr>
            </w:pPr>
          </w:p>
        </w:tc>
        <w:tc>
          <w:tcPr>
            <w:tcW w:w="1779" w:type="dxa"/>
          </w:tcPr>
          <w:p>
            <w:pPr>
              <w:pStyle w:val="TableParagraph"/>
              <w:spacing w:line="250" w:lineRule="exact" w:before="1"/>
              <w:rPr>
                <w:sz w:val="21"/>
              </w:rPr>
            </w:pPr>
            <w:r>
              <w:rPr>
                <w:w w:val="100"/>
                <w:sz w:val="21"/>
              </w:rPr>
              <w:t>染</w:t>
            </w:r>
          </w:p>
        </w:tc>
      </w:tr>
      <w:tr>
        <w:trPr>
          <w:trHeight w:val="818" w:hRule="atLeast"/>
        </w:trPr>
        <w:tc>
          <w:tcPr>
            <w:tcW w:w="1123" w:type="dxa"/>
            <w:vMerge w:val="restart"/>
          </w:tcPr>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spacing w:before="174"/>
              <w:ind w:left="138"/>
              <w:jc w:val="left"/>
              <w:rPr>
                <w:sz w:val="21"/>
              </w:rPr>
            </w:pPr>
            <w:r>
              <w:rPr>
                <w:sz w:val="21"/>
              </w:rPr>
              <w:t>装卸环节</w:t>
            </w:r>
          </w:p>
        </w:tc>
        <w:tc>
          <w:tcPr>
            <w:tcW w:w="1889" w:type="dxa"/>
          </w:tcPr>
          <w:p>
            <w:pPr>
              <w:pStyle w:val="TableParagraph"/>
              <w:spacing w:before="10"/>
              <w:jc w:val="left"/>
              <w:rPr>
                <w:rFonts w:ascii="Times New Roman"/>
                <w:sz w:val="23"/>
              </w:rPr>
            </w:pPr>
          </w:p>
          <w:p>
            <w:pPr>
              <w:pStyle w:val="TableParagraph"/>
              <w:ind w:left="185" w:right="178"/>
              <w:rPr>
                <w:sz w:val="21"/>
              </w:rPr>
            </w:pPr>
            <w:r>
              <w:rPr>
                <w:sz w:val="21"/>
              </w:rPr>
              <w:t>醋酸储罐装卸区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醋酸</w:t>
            </w:r>
          </w:p>
        </w:tc>
        <w:tc>
          <w:tcPr>
            <w:tcW w:w="1702" w:type="dxa"/>
          </w:tcPr>
          <w:p>
            <w:pPr>
              <w:pStyle w:val="TableParagraph"/>
              <w:spacing w:line="244" w:lineRule="auto" w:before="138"/>
              <w:ind w:left="639" w:right="-15" w:hanging="533"/>
              <w:jc w:val="left"/>
              <w:rPr>
                <w:sz w:val="21"/>
              </w:rPr>
            </w:pPr>
            <w:r>
              <w:rPr>
                <w:spacing w:val="-15"/>
                <w:sz w:val="21"/>
              </w:rPr>
              <w:t>液态、酸性腐蚀、</w:t>
            </w:r>
            <w:r>
              <w:rPr>
                <w:sz w:val="21"/>
              </w:rPr>
              <w:t>易燃</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50t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before="1"/>
              <w:ind w:left="150"/>
              <w:jc w:val="left"/>
              <w:rPr>
                <w:sz w:val="21"/>
              </w:rPr>
            </w:pPr>
            <w:r>
              <w:rPr>
                <w:spacing w:val="-3"/>
                <w:sz w:val="21"/>
              </w:rPr>
              <w:t>对环境有危害，</w:t>
            </w:r>
          </w:p>
          <w:p>
            <w:pPr>
              <w:pStyle w:val="TableParagraph"/>
              <w:spacing w:line="270" w:lineRule="atLeast" w:before="3"/>
              <w:ind w:left="148" w:right="144" w:firstLine="2"/>
              <w:jc w:val="left"/>
              <w:rPr>
                <w:sz w:val="21"/>
              </w:rPr>
            </w:pPr>
            <w:r>
              <w:rPr>
                <w:spacing w:val="-5"/>
                <w:sz w:val="21"/>
              </w:rPr>
              <w:t>对大气、水体和</w:t>
            </w:r>
            <w:r>
              <w:rPr>
                <w:spacing w:val="-4"/>
                <w:sz w:val="21"/>
              </w:rPr>
              <w:t>土壤可造成污染</w:t>
            </w:r>
          </w:p>
        </w:tc>
      </w:tr>
      <w:tr>
        <w:trPr>
          <w:trHeight w:val="817" w:hRule="atLeast"/>
        </w:trPr>
        <w:tc>
          <w:tcPr>
            <w:tcW w:w="1123" w:type="dxa"/>
            <w:vMerge/>
            <w:tcBorders>
              <w:top w:val="nil"/>
            </w:tcBorders>
          </w:tcPr>
          <w:p>
            <w:pPr>
              <w:rPr>
                <w:sz w:val="2"/>
                <w:szCs w:val="2"/>
              </w:rPr>
            </w:pPr>
          </w:p>
        </w:tc>
        <w:tc>
          <w:tcPr>
            <w:tcW w:w="1889" w:type="dxa"/>
          </w:tcPr>
          <w:p>
            <w:pPr>
              <w:pStyle w:val="TableParagraph"/>
              <w:spacing w:before="10"/>
              <w:jc w:val="left"/>
              <w:rPr>
                <w:rFonts w:ascii="Times New Roman"/>
                <w:sz w:val="23"/>
              </w:rPr>
            </w:pPr>
          </w:p>
          <w:p>
            <w:pPr>
              <w:pStyle w:val="TableParagraph"/>
              <w:ind w:left="185" w:right="178"/>
              <w:rPr>
                <w:sz w:val="21"/>
              </w:rPr>
            </w:pPr>
            <w:r>
              <w:rPr>
                <w:sz w:val="21"/>
              </w:rPr>
              <w:t>液氨储罐装卸区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液氨</w:t>
            </w:r>
          </w:p>
        </w:tc>
        <w:tc>
          <w:tcPr>
            <w:tcW w:w="1702" w:type="dxa"/>
          </w:tcPr>
          <w:p>
            <w:pPr>
              <w:pStyle w:val="TableParagraph"/>
              <w:spacing w:line="242" w:lineRule="auto" w:before="137"/>
              <w:ind w:left="745" w:right="102" w:hanging="632"/>
              <w:jc w:val="left"/>
              <w:rPr>
                <w:sz w:val="21"/>
              </w:rPr>
            </w:pPr>
            <w:r>
              <w:rPr>
                <w:sz w:val="21"/>
              </w:rPr>
              <w:t>有毒、易燃、易爆</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25t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2" w:lineRule="exact" w:before="1"/>
              <w:ind w:left="148"/>
              <w:jc w:val="left"/>
              <w:rPr>
                <w:sz w:val="21"/>
              </w:rPr>
            </w:pPr>
            <w:r>
              <w:rPr>
                <w:spacing w:val="-2"/>
                <w:sz w:val="21"/>
              </w:rPr>
              <w:t>土壤可造成污染</w:t>
            </w:r>
          </w:p>
        </w:tc>
      </w:tr>
      <w:tr>
        <w:trPr>
          <w:trHeight w:val="815" w:hRule="atLeast"/>
        </w:trPr>
        <w:tc>
          <w:tcPr>
            <w:tcW w:w="1123" w:type="dxa"/>
            <w:vMerge/>
            <w:tcBorders>
              <w:top w:val="nil"/>
            </w:tcBorders>
          </w:tcPr>
          <w:p>
            <w:pPr>
              <w:rPr>
                <w:sz w:val="2"/>
                <w:szCs w:val="2"/>
              </w:rPr>
            </w:pPr>
          </w:p>
        </w:tc>
        <w:tc>
          <w:tcPr>
            <w:tcW w:w="1889" w:type="dxa"/>
          </w:tcPr>
          <w:p>
            <w:pPr>
              <w:pStyle w:val="TableParagraph"/>
              <w:spacing w:before="10"/>
              <w:jc w:val="left"/>
              <w:rPr>
                <w:rFonts w:ascii="Times New Roman"/>
                <w:sz w:val="23"/>
              </w:rPr>
            </w:pPr>
          </w:p>
          <w:p>
            <w:pPr>
              <w:pStyle w:val="TableParagraph"/>
              <w:ind w:left="185" w:right="178"/>
              <w:rPr>
                <w:sz w:val="21"/>
              </w:rPr>
            </w:pPr>
            <w:r>
              <w:rPr>
                <w:sz w:val="21"/>
              </w:rPr>
              <w:t>乙腈储罐装卸区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乙腈</w:t>
            </w:r>
          </w:p>
        </w:tc>
        <w:tc>
          <w:tcPr>
            <w:tcW w:w="1702" w:type="dxa"/>
          </w:tcPr>
          <w:p>
            <w:pPr>
              <w:pStyle w:val="TableParagraph"/>
              <w:spacing w:before="10"/>
              <w:jc w:val="left"/>
              <w:rPr>
                <w:rFonts w:ascii="Times New Roman"/>
                <w:sz w:val="23"/>
              </w:rPr>
            </w:pPr>
          </w:p>
          <w:p>
            <w:pPr>
              <w:pStyle w:val="TableParagraph"/>
              <w:ind w:left="304" w:right="297"/>
              <w:rPr>
                <w:sz w:val="21"/>
              </w:rPr>
            </w:pPr>
            <w:r>
              <w:rPr>
                <w:sz w:val="21"/>
              </w:rPr>
              <w:t>易燃、易爆</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40t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0" w:lineRule="exact" w:before="1"/>
              <w:ind w:left="148"/>
              <w:jc w:val="left"/>
              <w:rPr>
                <w:sz w:val="21"/>
              </w:rPr>
            </w:pPr>
            <w:r>
              <w:rPr>
                <w:spacing w:val="-2"/>
                <w:sz w:val="21"/>
              </w:rPr>
              <w:t>土壤可造成污染</w:t>
            </w:r>
          </w:p>
        </w:tc>
      </w:tr>
      <w:tr>
        <w:trPr>
          <w:trHeight w:val="817" w:hRule="atLeast"/>
        </w:trPr>
        <w:tc>
          <w:tcPr>
            <w:tcW w:w="1123" w:type="dxa"/>
            <w:vMerge/>
            <w:tcBorders>
              <w:top w:val="nil"/>
            </w:tcBorders>
          </w:tcPr>
          <w:p>
            <w:pPr>
              <w:rPr>
                <w:sz w:val="2"/>
                <w:szCs w:val="2"/>
              </w:rPr>
            </w:pPr>
          </w:p>
        </w:tc>
        <w:tc>
          <w:tcPr>
            <w:tcW w:w="1889" w:type="dxa"/>
          </w:tcPr>
          <w:p>
            <w:pPr>
              <w:pStyle w:val="TableParagraph"/>
              <w:spacing w:line="244" w:lineRule="auto" w:before="138"/>
              <w:ind w:left="837" w:right="194" w:hanging="629"/>
              <w:jc w:val="left"/>
              <w:rPr>
                <w:sz w:val="21"/>
              </w:rPr>
            </w:pPr>
            <w:r>
              <w:rPr>
                <w:sz w:val="21"/>
              </w:rPr>
              <w:t>废乙腈储罐装卸区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废乙腈</w:t>
            </w:r>
          </w:p>
        </w:tc>
        <w:tc>
          <w:tcPr>
            <w:tcW w:w="1702" w:type="dxa"/>
          </w:tcPr>
          <w:p>
            <w:pPr>
              <w:pStyle w:val="TableParagraph"/>
              <w:spacing w:before="10"/>
              <w:jc w:val="left"/>
              <w:rPr>
                <w:rFonts w:ascii="Times New Roman"/>
                <w:sz w:val="23"/>
              </w:rPr>
            </w:pPr>
          </w:p>
          <w:p>
            <w:pPr>
              <w:pStyle w:val="TableParagraph"/>
              <w:ind w:left="304" w:right="297"/>
              <w:rPr>
                <w:sz w:val="21"/>
              </w:rPr>
            </w:pPr>
            <w:r>
              <w:rPr>
                <w:sz w:val="21"/>
              </w:rPr>
              <w:t>易燃、易爆</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40t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before="1"/>
              <w:ind w:left="150"/>
              <w:jc w:val="left"/>
              <w:rPr>
                <w:sz w:val="21"/>
              </w:rPr>
            </w:pPr>
            <w:r>
              <w:rPr>
                <w:spacing w:val="-3"/>
                <w:sz w:val="21"/>
              </w:rPr>
              <w:t>对环境有危害，</w:t>
            </w:r>
          </w:p>
          <w:p>
            <w:pPr>
              <w:pStyle w:val="TableParagraph"/>
              <w:spacing w:line="270" w:lineRule="atLeast" w:before="3"/>
              <w:ind w:left="148" w:right="144" w:firstLine="2"/>
              <w:jc w:val="left"/>
              <w:rPr>
                <w:sz w:val="21"/>
              </w:rPr>
            </w:pPr>
            <w:r>
              <w:rPr>
                <w:spacing w:val="-5"/>
                <w:sz w:val="21"/>
              </w:rPr>
              <w:t>对大气、水体和</w:t>
            </w:r>
            <w:r>
              <w:rPr>
                <w:spacing w:val="-4"/>
                <w:sz w:val="21"/>
              </w:rPr>
              <w:t>土壤可造成污染</w:t>
            </w:r>
          </w:p>
        </w:tc>
      </w:tr>
      <w:tr>
        <w:trPr>
          <w:trHeight w:val="815" w:hRule="atLeast"/>
        </w:trPr>
        <w:tc>
          <w:tcPr>
            <w:tcW w:w="1123" w:type="dxa"/>
            <w:vMerge/>
            <w:tcBorders>
              <w:top w:val="nil"/>
            </w:tcBorders>
          </w:tcPr>
          <w:p>
            <w:pPr>
              <w:rPr>
                <w:sz w:val="2"/>
                <w:szCs w:val="2"/>
              </w:rPr>
            </w:pPr>
          </w:p>
        </w:tc>
        <w:tc>
          <w:tcPr>
            <w:tcW w:w="1889" w:type="dxa"/>
          </w:tcPr>
          <w:p>
            <w:pPr>
              <w:pStyle w:val="TableParagraph"/>
              <w:spacing w:line="242" w:lineRule="auto" w:before="137"/>
              <w:ind w:left="837" w:right="194" w:hanging="629"/>
              <w:jc w:val="left"/>
              <w:rPr>
                <w:sz w:val="21"/>
              </w:rPr>
            </w:pPr>
            <w:r>
              <w:rPr>
                <w:sz w:val="21"/>
              </w:rPr>
              <w:t>乙二醇储罐装卸区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乙二醇</w:t>
            </w:r>
          </w:p>
        </w:tc>
        <w:tc>
          <w:tcPr>
            <w:tcW w:w="1702" w:type="dxa"/>
          </w:tcPr>
          <w:p>
            <w:pPr>
              <w:pStyle w:val="TableParagraph"/>
              <w:spacing w:before="10"/>
              <w:jc w:val="left"/>
              <w:rPr>
                <w:rFonts w:ascii="Times New Roman"/>
                <w:sz w:val="23"/>
              </w:rPr>
            </w:pPr>
          </w:p>
          <w:p>
            <w:pPr>
              <w:pStyle w:val="TableParagraph"/>
              <w:ind w:left="304" w:right="297"/>
              <w:rPr>
                <w:sz w:val="21"/>
              </w:rPr>
            </w:pPr>
            <w:r>
              <w:rPr>
                <w:sz w:val="21"/>
              </w:rPr>
              <w:t>低毒、易燃</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50t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0" w:lineRule="exact" w:before="1"/>
              <w:ind w:left="148"/>
              <w:jc w:val="left"/>
              <w:rPr>
                <w:sz w:val="21"/>
              </w:rPr>
            </w:pPr>
            <w:r>
              <w:rPr>
                <w:spacing w:val="-2"/>
                <w:sz w:val="21"/>
              </w:rPr>
              <w:t>土壤可造成污染</w:t>
            </w:r>
          </w:p>
        </w:tc>
      </w:tr>
      <w:tr>
        <w:trPr>
          <w:trHeight w:val="818" w:hRule="atLeast"/>
        </w:trPr>
        <w:tc>
          <w:tcPr>
            <w:tcW w:w="1123" w:type="dxa"/>
            <w:vMerge/>
            <w:tcBorders>
              <w:top w:val="nil"/>
            </w:tcBorders>
          </w:tcPr>
          <w:p>
            <w:pPr>
              <w:rPr>
                <w:sz w:val="2"/>
                <w:szCs w:val="2"/>
              </w:rPr>
            </w:pPr>
          </w:p>
        </w:tc>
        <w:tc>
          <w:tcPr>
            <w:tcW w:w="1889" w:type="dxa"/>
          </w:tcPr>
          <w:p>
            <w:pPr>
              <w:pStyle w:val="TableParagraph"/>
              <w:spacing w:line="244" w:lineRule="auto" w:before="137"/>
              <w:ind w:left="837" w:right="194" w:hanging="629"/>
              <w:jc w:val="left"/>
              <w:rPr>
                <w:sz w:val="21"/>
              </w:rPr>
            </w:pPr>
            <w:r>
              <w:rPr>
                <w:sz w:val="21"/>
              </w:rPr>
              <w:t>丙二醇储罐装卸区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丙二醇</w:t>
            </w:r>
          </w:p>
        </w:tc>
        <w:tc>
          <w:tcPr>
            <w:tcW w:w="1702" w:type="dxa"/>
          </w:tcPr>
          <w:p>
            <w:pPr>
              <w:pStyle w:val="TableParagraph"/>
              <w:spacing w:before="10"/>
              <w:jc w:val="left"/>
              <w:rPr>
                <w:rFonts w:ascii="Times New Roman"/>
                <w:sz w:val="23"/>
              </w:rPr>
            </w:pPr>
          </w:p>
          <w:p>
            <w:pPr>
              <w:pStyle w:val="TableParagraph"/>
              <w:ind w:left="304" w:right="297"/>
              <w:rPr>
                <w:sz w:val="21"/>
              </w:rPr>
            </w:pPr>
            <w:r>
              <w:rPr>
                <w:sz w:val="21"/>
              </w:rPr>
              <w:t>液体、不燃</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50t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before="1"/>
              <w:ind w:left="150"/>
              <w:jc w:val="left"/>
              <w:rPr>
                <w:sz w:val="21"/>
              </w:rPr>
            </w:pPr>
            <w:r>
              <w:rPr>
                <w:spacing w:val="-3"/>
                <w:sz w:val="21"/>
              </w:rPr>
              <w:t>对环境有危害，</w:t>
            </w:r>
          </w:p>
          <w:p>
            <w:pPr>
              <w:pStyle w:val="TableParagraph"/>
              <w:spacing w:line="270" w:lineRule="atLeast" w:before="3"/>
              <w:ind w:left="148" w:right="144" w:firstLine="2"/>
              <w:jc w:val="left"/>
              <w:rPr>
                <w:sz w:val="21"/>
              </w:rPr>
            </w:pPr>
            <w:r>
              <w:rPr>
                <w:spacing w:val="-5"/>
                <w:sz w:val="21"/>
              </w:rPr>
              <w:t>对大气、水体和</w:t>
            </w:r>
            <w:r>
              <w:rPr>
                <w:spacing w:val="-4"/>
                <w:sz w:val="21"/>
              </w:rPr>
              <w:t>土壤可造成污染</w:t>
            </w:r>
          </w:p>
        </w:tc>
      </w:tr>
      <w:tr>
        <w:trPr>
          <w:trHeight w:val="818" w:hRule="atLeast"/>
        </w:trPr>
        <w:tc>
          <w:tcPr>
            <w:tcW w:w="1123" w:type="dxa"/>
            <w:vMerge/>
            <w:tcBorders>
              <w:top w:val="nil"/>
            </w:tcBorders>
          </w:tcPr>
          <w:p>
            <w:pPr>
              <w:rPr>
                <w:sz w:val="2"/>
                <w:szCs w:val="2"/>
              </w:rPr>
            </w:pPr>
          </w:p>
        </w:tc>
        <w:tc>
          <w:tcPr>
            <w:tcW w:w="1889" w:type="dxa"/>
          </w:tcPr>
          <w:p>
            <w:pPr>
              <w:pStyle w:val="TableParagraph"/>
              <w:spacing w:before="10"/>
              <w:jc w:val="left"/>
              <w:rPr>
                <w:rFonts w:ascii="Times New Roman"/>
                <w:sz w:val="23"/>
              </w:rPr>
            </w:pPr>
          </w:p>
          <w:p>
            <w:pPr>
              <w:pStyle w:val="TableParagraph"/>
              <w:ind w:left="185" w:right="178"/>
              <w:rPr>
                <w:sz w:val="21"/>
              </w:rPr>
            </w:pPr>
            <w:r>
              <w:rPr>
                <w:sz w:val="21"/>
              </w:rPr>
              <w:t>氨水储罐装卸区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氨水</w:t>
            </w:r>
          </w:p>
        </w:tc>
        <w:tc>
          <w:tcPr>
            <w:tcW w:w="1702" w:type="dxa"/>
          </w:tcPr>
          <w:p>
            <w:pPr>
              <w:pStyle w:val="TableParagraph"/>
              <w:spacing w:line="242" w:lineRule="auto" w:before="138"/>
              <w:ind w:left="745" w:right="102" w:hanging="632"/>
              <w:jc w:val="left"/>
              <w:rPr>
                <w:sz w:val="21"/>
              </w:rPr>
            </w:pPr>
            <w:r>
              <w:rPr>
                <w:sz w:val="21"/>
              </w:rPr>
              <w:t>液态、碱性腐蚀性</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30t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2" w:lineRule="exact" w:before="1"/>
              <w:ind w:left="148"/>
              <w:jc w:val="left"/>
              <w:rPr>
                <w:sz w:val="21"/>
              </w:rPr>
            </w:pPr>
            <w:r>
              <w:rPr>
                <w:spacing w:val="-2"/>
                <w:sz w:val="21"/>
              </w:rPr>
              <w:t>土壤可造成污染</w:t>
            </w:r>
          </w:p>
        </w:tc>
      </w:tr>
      <w:tr>
        <w:trPr>
          <w:trHeight w:val="815" w:hRule="atLeast"/>
        </w:trPr>
        <w:tc>
          <w:tcPr>
            <w:tcW w:w="1123" w:type="dxa"/>
            <w:vMerge/>
            <w:tcBorders>
              <w:top w:val="nil"/>
            </w:tcBorders>
          </w:tcPr>
          <w:p>
            <w:pPr>
              <w:rPr>
                <w:sz w:val="2"/>
                <w:szCs w:val="2"/>
              </w:rPr>
            </w:pPr>
          </w:p>
        </w:tc>
        <w:tc>
          <w:tcPr>
            <w:tcW w:w="1889" w:type="dxa"/>
          </w:tcPr>
          <w:p>
            <w:pPr>
              <w:pStyle w:val="TableParagraph"/>
              <w:spacing w:line="242" w:lineRule="auto" w:before="137"/>
              <w:ind w:left="523" w:right="194" w:hanging="315"/>
              <w:jc w:val="left"/>
              <w:rPr>
                <w:sz w:val="21"/>
              </w:rPr>
            </w:pPr>
            <w:r>
              <w:rPr>
                <w:sz w:val="21"/>
              </w:rPr>
              <w:t>多元醇混合酯储罐装卸区</w:t>
            </w:r>
          </w:p>
        </w:tc>
        <w:tc>
          <w:tcPr>
            <w:tcW w:w="931" w:type="dxa"/>
          </w:tcPr>
          <w:p>
            <w:pPr>
              <w:pStyle w:val="TableParagraph"/>
              <w:spacing w:before="5"/>
              <w:jc w:val="left"/>
              <w:rPr>
                <w:rFonts w:ascii="Times New Roman"/>
                <w:sz w:val="24"/>
              </w:rPr>
            </w:pPr>
          </w:p>
          <w:p>
            <w:pPr>
              <w:pStyle w:val="TableParagraph"/>
              <w:ind w:left="130" w:right="114"/>
              <w:rPr>
                <w:rFonts w:ascii="Times New Roman"/>
                <w:sz w:val="21"/>
              </w:rPr>
            </w:pPr>
            <w:r>
              <w:rPr>
                <w:rFonts w:ascii="Times New Roman"/>
                <w:sz w:val="21"/>
              </w:rPr>
              <w:t>--</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line="242" w:lineRule="auto" w:before="137"/>
              <w:ind w:left="419" w:right="197" w:hanging="209"/>
              <w:jc w:val="left"/>
              <w:rPr>
                <w:sz w:val="21"/>
              </w:rPr>
            </w:pPr>
            <w:r>
              <w:rPr>
                <w:sz w:val="21"/>
              </w:rPr>
              <w:t>多元醇混合酯</w:t>
            </w:r>
          </w:p>
        </w:tc>
        <w:tc>
          <w:tcPr>
            <w:tcW w:w="1702" w:type="dxa"/>
          </w:tcPr>
          <w:p>
            <w:pPr>
              <w:pStyle w:val="TableParagraph"/>
              <w:spacing w:before="10"/>
              <w:jc w:val="left"/>
              <w:rPr>
                <w:rFonts w:ascii="Times New Roman"/>
                <w:sz w:val="23"/>
              </w:rPr>
            </w:pPr>
          </w:p>
          <w:p>
            <w:pPr>
              <w:pStyle w:val="TableParagraph"/>
              <w:ind w:left="304" w:right="297"/>
              <w:rPr>
                <w:sz w:val="21"/>
              </w:rPr>
            </w:pPr>
            <w:r>
              <w:rPr>
                <w:sz w:val="21"/>
              </w:rPr>
              <w:t>液态、可燃</w:t>
            </w:r>
          </w:p>
        </w:tc>
        <w:tc>
          <w:tcPr>
            <w:tcW w:w="1779" w:type="dxa"/>
          </w:tcPr>
          <w:p>
            <w:pPr>
              <w:pStyle w:val="TableParagraph"/>
              <w:spacing w:before="10"/>
              <w:jc w:val="left"/>
              <w:rPr>
                <w:rFonts w:ascii="Times New Roman"/>
                <w:sz w:val="23"/>
              </w:rPr>
            </w:pPr>
          </w:p>
          <w:p>
            <w:pPr>
              <w:pStyle w:val="TableParagraph"/>
              <w:ind w:left="103" w:right="96"/>
              <w:rPr>
                <w:rFonts w:ascii="Times New Roman" w:eastAsia="Times New Roman"/>
                <w:sz w:val="21"/>
              </w:rPr>
            </w:pPr>
            <w:r>
              <w:rPr>
                <w:sz w:val="21"/>
              </w:rPr>
              <w:t>运输车装载量</w:t>
            </w:r>
            <w:r>
              <w:rPr>
                <w:rFonts w:ascii="Times New Roman" w:eastAsia="Times New Roman"/>
                <w:sz w:val="21"/>
              </w:rPr>
              <w:t>50t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
              <w:ind w:left="150" w:right="144"/>
              <w:jc w:val="left"/>
              <w:rPr>
                <w:sz w:val="21"/>
              </w:rPr>
            </w:pPr>
            <w:r>
              <w:rPr>
                <w:spacing w:val="-5"/>
                <w:sz w:val="21"/>
              </w:rPr>
              <w:t>对环境有危害， 对大气、水体和</w:t>
            </w:r>
          </w:p>
          <w:p>
            <w:pPr>
              <w:pStyle w:val="TableParagraph"/>
              <w:spacing w:line="250" w:lineRule="exact" w:before="1"/>
              <w:ind w:left="148"/>
              <w:jc w:val="left"/>
              <w:rPr>
                <w:sz w:val="21"/>
              </w:rPr>
            </w:pPr>
            <w:r>
              <w:rPr>
                <w:spacing w:val="-2"/>
                <w:sz w:val="21"/>
              </w:rPr>
              <w:t>土壤可造成污染</w:t>
            </w:r>
          </w:p>
        </w:tc>
      </w:tr>
      <w:tr>
        <w:trPr>
          <w:trHeight w:val="818" w:hRule="atLeast"/>
        </w:trPr>
        <w:tc>
          <w:tcPr>
            <w:tcW w:w="1123" w:type="dxa"/>
            <w:vMerge w:val="restart"/>
          </w:tcPr>
          <w:p>
            <w:pPr>
              <w:pStyle w:val="TableParagraph"/>
              <w:spacing w:line="244" w:lineRule="auto" w:before="130"/>
              <w:ind w:left="455" w:right="127" w:hanging="315"/>
              <w:jc w:val="left"/>
              <w:rPr>
                <w:sz w:val="21"/>
              </w:rPr>
            </w:pPr>
            <w:r>
              <w:rPr>
                <w:sz w:val="21"/>
              </w:rPr>
              <w:t>生产装置区</w:t>
            </w:r>
          </w:p>
        </w:tc>
        <w:tc>
          <w:tcPr>
            <w:tcW w:w="1889" w:type="dxa"/>
          </w:tcPr>
          <w:p>
            <w:pPr>
              <w:pStyle w:val="TableParagraph"/>
              <w:spacing w:before="10"/>
              <w:jc w:val="left"/>
              <w:rPr>
                <w:rFonts w:ascii="Times New Roman"/>
                <w:sz w:val="23"/>
              </w:rPr>
            </w:pPr>
          </w:p>
          <w:p>
            <w:pPr>
              <w:pStyle w:val="TableParagraph"/>
              <w:ind w:left="185" w:right="178"/>
              <w:rPr>
                <w:sz w:val="21"/>
              </w:rPr>
            </w:pPr>
            <w:r>
              <w:rPr>
                <w:sz w:val="21"/>
              </w:rPr>
              <w:t>中间罐</w:t>
            </w:r>
          </w:p>
        </w:tc>
        <w:tc>
          <w:tcPr>
            <w:tcW w:w="931" w:type="dxa"/>
          </w:tcPr>
          <w:p>
            <w:pPr>
              <w:pStyle w:val="TableParagraph"/>
              <w:spacing w:before="10"/>
              <w:jc w:val="left"/>
              <w:rPr>
                <w:rFonts w:ascii="Times New Roman"/>
                <w:sz w:val="23"/>
              </w:rPr>
            </w:pPr>
          </w:p>
          <w:p>
            <w:pPr>
              <w:pStyle w:val="TableParagraph"/>
              <w:ind w:left="130" w:right="121"/>
              <w:rPr>
                <w:sz w:val="21"/>
              </w:rPr>
            </w:pPr>
            <w:r>
              <w:rPr>
                <w:sz w:val="21"/>
              </w:rPr>
              <w:t>粗品罐</w:t>
            </w:r>
          </w:p>
        </w:tc>
        <w:tc>
          <w:tcPr>
            <w:tcW w:w="1080" w:type="dxa"/>
          </w:tcPr>
          <w:p>
            <w:pPr>
              <w:pStyle w:val="TableParagraph"/>
              <w:spacing w:before="5"/>
              <w:jc w:val="left"/>
              <w:rPr>
                <w:rFonts w:ascii="Times New Roman"/>
                <w:sz w:val="24"/>
              </w:rPr>
            </w:pPr>
          </w:p>
          <w:p>
            <w:pPr>
              <w:pStyle w:val="TableParagraph"/>
              <w:ind w:left="141" w:right="132"/>
              <w:rPr>
                <w:rFonts w:ascii="Times New Roman"/>
                <w:sz w:val="21"/>
              </w:rPr>
            </w:pPr>
            <w:r>
              <w:rPr>
                <w:rFonts w:ascii="Times New Roman"/>
                <w:sz w:val="21"/>
              </w:rPr>
              <w:t>10m</w:t>
            </w:r>
            <w:r>
              <w:rPr>
                <w:rFonts w:ascii="Times New Roman"/>
                <w:sz w:val="21"/>
                <w:vertAlign w:val="superscript"/>
              </w:rPr>
              <w:t>3</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4</w:t>
            </w:r>
          </w:p>
        </w:tc>
        <w:tc>
          <w:tcPr>
            <w:tcW w:w="1263" w:type="dxa"/>
          </w:tcPr>
          <w:p>
            <w:pPr>
              <w:pStyle w:val="TableParagraph"/>
              <w:spacing w:before="10"/>
              <w:jc w:val="left"/>
              <w:rPr>
                <w:rFonts w:ascii="Times New Roman"/>
                <w:sz w:val="23"/>
              </w:rPr>
            </w:pPr>
          </w:p>
          <w:p>
            <w:pPr>
              <w:pStyle w:val="TableParagraph"/>
              <w:ind w:left="102" w:right="94"/>
              <w:rPr>
                <w:sz w:val="21"/>
              </w:rPr>
            </w:pPr>
            <w:r>
              <w:rPr>
                <w:sz w:val="21"/>
              </w:rPr>
              <w:t>乙腈</w:t>
            </w:r>
          </w:p>
        </w:tc>
        <w:tc>
          <w:tcPr>
            <w:tcW w:w="1702" w:type="dxa"/>
          </w:tcPr>
          <w:p>
            <w:pPr>
              <w:pStyle w:val="TableParagraph"/>
              <w:spacing w:before="10"/>
              <w:jc w:val="left"/>
              <w:rPr>
                <w:rFonts w:ascii="Times New Roman"/>
                <w:sz w:val="23"/>
              </w:rPr>
            </w:pPr>
          </w:p>
          <w:p>
            <w:pPr>
              <w:pStyle w:val="TableParagraph"/>
              <w:ind w:left="304" w:right="297"/>
              <w:rPr>
                <w:sz w:val="21"/>
              </w:rPr>
            </w:pPr>
            <w:r>
              <w:rPr>
                <w:sz w:val="21"/>
              </w:rPr>
              <w:t>易燃、易爆</w:t>
            </w:r>
          </w:p>
        </w:tc>
        <w:tc>
          <w:tcPr>
            <w:tcW w:w="1779" w:type="dxa"/>
          </w:tcPr>
          <w:p>
            <w:pPr>
              <w:pStyle w:val="TableParagraph"/>
              <w:spacing w:before="5"/>
              <w:jc w:val="left"/>
              <w:rPr>
                <w:rFonts w:ascii="Times New Roman"/>
                <w:sz w:val="24"/>
              </w:rPr>
            </w:pPr>
          </w:p>
          <w:p>
            <w:pPr>
              <w:pStyle w:val="TableParagraph"/>
              <w:ind w:left="101" w:right="96"/>
              <w:rPr>
                <w:rFonts w:ascii="Times New Roman"/>
                <w:sz w:val="21"/>
              </w:rPr>
            </w:pPr>
            <w:r>
              <w:rPr>
                <w:rFonts w:ascii="Times New Roman"/>
                <w:sz w:val="21"/>
              </w:rPr>
              <w: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before="1"/>
              <w:ind w:left="150"/>
              <w:jc w:val="left"/>
              <w:rPr>
                <w:sz w:val="21"/>
              </w:rPr>
            </w:pPr>
            <w:r>
              <w:rPr>
                <w:sz w:val="21"/>
              </w:rPr>
              <w:t>对环境有危害，</w:t>
            </w:r>
          </w:p>
          <w:p>
            <w:pPr>
              <w:pStyle w:val="TableParagraph"/>
              <w:spacing w:line="270" w:lineRule="atLeast" w:before="3"/>
              <w:ind w:left="464" w:right="143" w:hanging="315"/>
              <w:jc w:val="left"/>
              <w:rPr>
                <w:sz w:val="21"/>
              </w:rPr>
            </w:pPr>
            <w:r>
              <w:rPr>
                <w:sz w:val="21"/>
              </w:rPr>
              <w:t>对水体和土壤可造成污染</w:t>
            </w:r>
          </w:p>
        </w:tc>
      </w:tr>
      <w:tr>
        <w:trPr>
          <w:trHeight w:val="544" w:hRule="atLeast"/>
        </w:trPr>
        <w:tc>
          <w:tcPr>
            <w:tcW w:w="1123" w:type="dxa"/>
            <w:vMerge/>
            <w:tcBorders>
              <w:top w:val="nil"/>
            </w:tcBorders>
          </w:tcPr>
          <w:p>
            <w:pPr>
              <w:rPr>
                <w:sz w:val="2"/>
                <w:szCs w:val="2"/>
              </w:rPr>
            </w:pPr>
          </w:p>
        </w:tc>
        <w:tc>
          <w:tcPr>
            <w:tcW w:w="1889" w:type="dxa"/>
          </w:tcPr>
          <w:p>
            <w:pPr>
              <w:pStyle w:val="TableParagraph"/>
              <w:spacing w:before="138"/>
              <w:ind w:left="185" w:right="178"/>
              <w:rPr>
                <w:sz w:val="21"/>
              </w:rPr>
            </w:pPr>
            <w:r>
              <w:rPr>
                <w:sz w:val="21"/>
              </w:rPr>
              <w:t>精馏</w:t>
            </w:r>
          </w:p>
        </w:tc>
        <w:tc>
          <w:tcPr>
            <w:tcW w:w="931" w:type="dxa"/>
          </w:tcPr>
          <w:p>
            <w:pPr>
              <w:pStyle w:val="TableParagraph"/>
              <w:spacing w:before="138"/>
              <w:ind w:left="130" w:right="121"/>
              <w:rPr>
                <w:sz w:val="21"/>
              </w:rPr>
            </w:pPr>
            <w:r>
              <w:rPr>
                <w:sz w:val="21"/>
              </w:rPr>
              <w:t>精馏塔</w:t>
            </w:r>
          </w:p>
        </w:tc>
        <w:tc>
          <w:tcPr>
            <w:tcW w:w="1080" w:type="dxa"/>
          </w:tcPr>
          <w:p>
            <w:pPr>
              <w:pStyle w:val="TableParagraph"/>
              <w:spacing w:before="144"/>
              <w:ind w:left="141" w:right="132"/>
              <w:rPr>
                <w:rFonts w:ascii="Times New Roman"/>
                <w:sz w:val="21"/>
              </w:rPr>
            </w:pPr>
            <w:r>
              <w:rPr>
                <w:rFonts w:ascii="Times New Roman"/>
                <w:sz w:val="21"/>
              </w:rPr>
              <w:t>3m</w:t>
            </w:r>
            <w:r>
              <w:rPr>
                <w:rFonts w:ascii="Times New Roman"/>
                <w:sz w:val="21"/>
                <w:vertAlign w:val="superscript"/>
              </w:rPr>
              <w:t>3</w:t>
            </w:r>
          </w:p>
        </w:tc>
        <w:tc>
          <w:tcPr>
            <w:tcW w:w="898" w:type="dxa"/>
          </w:tcPr>
          <w:p>
            <w:pPr>
              <w:pStyle w:val="TableParagraph"/>
              <w:spacing w:before="144"/>
              <w:ind w:left="9"/>
              <w:rPr>
                <w:rFonts w:ascii="Times New Roman"/>
                <w:sz w:val="21"/>
              </w:rPr>
            </w:pPr>
            <w:r>
              <w:rPr>
                <w:rFonts w:ascii="Times New Roman"/>
                <w:w w:val="100"/>
                <w:sz w:val="21"/>
              </w:rPr>
              <w:t>2</w:t>
            </w:r>
          </w:p>
        </w:tc>
        <w:tc>
          <w:tcPr>
            <w:tcW w:w="1263" w:type="dxa"/>
          </w:tcPr>
          <w:p>
            <w:pPr>
              <w:pStyle w:val="TableParagraph"/>
              <w:spacing w:before="138"/>
              <w:ind w:left="102" w:right="94"/>
              <w:rPr>
                <w:sz w:val="21"/>
              </w:rPr>
            </w:pPr>
            <w:r>
              <w:rPr>
                <w:sz w:val="21"/>
              </w:rPr>
              <w:t>乙腈</w:t>
            </w:r>
          </w:p>
        </w:tc>
        <w:tc>
          <w:tcPr>
            <w:tcW w:w="1702" w:type="dxa"/>
          </w:tcPr>
          <w:p>
            <w:pPr>
              <w:pStyle w:val="TableParagraph"/>
              <w:spacing w:before="138"/>
              <w:ind w:left="304" w:right="297"/>
              <w:rPr>
                <w:sz w:val="21"/>
              </w:rPr>
            </w:pPr>
            <w:r>
              <w:rPr>
                <w:sz w:val="21"/>
              </w:rPr>
              <w:t>易燃、易爆</w:t>
            </w:r>
          </w:p>
        </w:tc>
        <w:tc>
          <w:tcPr>
            <w:tcW w:w="1779" w:type="dxa"/>
          </w:tcPr>
          <w:p>
            <w:pPr>
              <w:pStyle w:val="TableParagraph"/>
              <w:spacing w:before="144"/>
              <w:ind w:left="101" w:right="96"/>
              <w:rPr>
                <w:rFonts w:ascii="Times New Roman"/>
                <w:sz w:val="21"/>
              </w:rPr>
            </w:pPr>
            <w:r>
              <w:rPr>
                <w:rFonts w:ascii="Times New Roman"/>
                <w:sz w:val="21"/>
              </w:rPr>
              <w:t>--</w:t>
            </w:r>
          </w:p>
        </w:tc>
        <w:tc>
          <w:tcPr>
            <w:tcW w:w="1777" w:type="dxa"/>
          </w:tcPr>
          <w:p>
            <w:pPr>
              <w:pStyle w:val="TableParagraph"/>
              <w:spacing w:before="144"/>
              <w:ind w:left="342" w:right="332"/>
              <w:rPr>
                <w:rFonts w:ascii="Times New Roman"/>
                <w:sz w:val="21"/>
              </w:rPr>
            </w:pPr>
            <w:r>
              <w:rPr>
                <w:rFonts w:ascii="Times New Roman"/>
                <w:sz w:val="21"/>
              </w:rPr>
              <w:t>--</w:t>
            </w:r>
          </w:p>
        </w:tc>
        <w:tc>
          <w:tcPr>
            <w:tcW w:w="1779" w:type="dxa"/>
          </w:tcPr>
          <w:p>
            <w:pPr>
              <w:pStyle w:val="TableParagraph"/>
              <w:spacing w:before="1"/>
              <w:ind w:left="101" w:right="96"/>
              <w:rPr>
                <w:sz w:val="21"/>
              </w:rPr>
            </w:pPr>
            <w:r>
              <w:rPr>
                <w:sz w:val="21"/>
              </w:rPr>
              <w:t>对水体和土壤可</w:t>
            </w:r>
          </w:p>
          <w:p>
            <w:pPr>
              <w:pStyle w:val="TableParagraph"/>
              <w:spacing w:line="252" w:lineRule="exact" w:before="2"/>
              <w:ind w:left="99" w:right="96"/>
              <w:rPr>
                <w:sz w:val="21"/>
              </w:rPr>
            </w:pPr>
            <w:r>
              <w:rPr>
                <w:sz w:val="21"/>
              </w:rPr>
              <w:t>造成污染</w:t>
            </w:r>
          </w:p>
        </w:tc>
      </w:tr>
    </w:tbl>
    <w:p>
      <w:pPr>
        <w:spacing w:after="0" w:line="252" w:lineRule="exact"/>
        <w:rPr>
          <w:sz w:val="21"/>
        </w:rPr>
        <w:sectPr>
          <w:footerReference w:type="default" r:id="rId41"/>
          <w:pgSz w:w="16840" w:h="11910" w:orient="landscape"/>
          <w:pgMar w:footer="951" w:header="0" w:top="1100" w:bottom="1140" w:left="920" w:right="1480"/>
          <w:pgNumType w:start="25"/>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1889"/>
        <w:gridCol w:w="931"/>
        <w:gridCol w:w="1080"/>
        <w:gridCol w:w="898"/>
        <w:gridCol w:w="1263"/>
        <w:gridCol w:w="1702"/>
        <w:gridCol w:w="1779"/>
        <w:gridCol w:w="1777"/>
        <w:gridCol w:w="1779"/>
      </w:tblGrid>
      <w:tr>
        <w:trPr>
          <w:trHeight w:val="544" w:hRule="atLeast"/>
        </w:trPr>
        <w:tc>
          <w:tcPr>
            <w:tcW w:w="1123" w:type="dxa"/>
            <w:vMerge w:val="restart"/>
          </w:tcPr>
          <w:p>
            <w:pPr>
              <w:pStyle w:val="TableParagraph"/>
              <w:jc w:val="left"/>
              <w:rPr>
                <w:rFonts w:ascii="Times New Roman"/>
                <w:sz w:val="20"/>
              </w:rPr>
            </w:pPr>
          </w:p>
        </w:tc>
        <w:tc>
          <w:tcPr>
            <w:tcW w:w="1889" w:type="dxa"/>
          </w:tcPr>
          <w:p>
            <w:pPr>
              <w:pStyle w:val="TableParagraph"/>
              <w:spacing w:before="144"/>
              <w:ind w:left="188" w:right="175"/>
              <w:rPr>
                <w:rFonts w:ascii="Times New Roman"/>
                <w:sz w:val="21"/>
              </w:rPr>
            </w:pPr>
            <w:r>
              <w:rPr>
                <w:rFonts w:ascii="Times New Roman"/>
                <w:sz w:val="21"/>
              </w:rPr>
              <w:t>--</w:t>
            </w:r>
          </w:p>
        </w:tc>
        <w:tc>
          <w:tcPr>
            <w:tcW w:w="931" w:type="dxa"/>
          </w:tcPr>
          <w:p>
            <w:pPr>
              <w:pStyle w:val="TableParagraph"/>
              <w:spacing w:before="137"/>
              <w:ind w:left="130" w:right="121"/>
              <w:rPr>
                <w:sz w:val="21"/>
              </w:rPr>
            </w:pPr>
            <w:r>
              <w:rPr>
                <w:sz w:val="21"/>
              </w:rPr>
              <w:t>中间槽</w:t>
            </w:r>
          </w:p>
        </w:tc>
        <w:tc>
          <w:tcPr>
            <w:tcW w:w="1080" w:type="dxa"/>
          </w:tcPr>
          <w:p>
            <w:pPr>
              <w:pStyle w:val="TableParagraph"/>
              <w:spacing w:before="144"/>
              <w:ind w:left="141" w:right="132"/>
              <w:rPr>
                <w:rFonts w:ascii="Times New Roman"/>
                <w:sz w:val="21"/>
              </w:rPr>
            </w:pPr>
            <w:r>
              <w:rPr>
                <w:rFonts w:ascii="Times New Roman"/>
                <w:sz w:val="21"/>
              </w:rPr>
              <w:t>6m</w:t>
            </w:r>
            <w:r>
              <w:rPr>
                <w:rFonts w:ascii="Times New Roman"/>
                <w:sz w:val="21"/>
                <w:vertAlign w:val="superscript"/>
              </w:rPr>
              <w:t>3</w:t>
            </w:r>
          </w:p>
        </w:tc>
        <w:tc>
          <w:tcPr>
            <w:tcW w:w="898" w:type="dxa"/>
          </w:tcPr>
          <w:p>
            <w:pPr>
              <w:pStyle w:val="TableParagraph"/>
              <w:spacing w:before="144"/>
              <w:ind w:left="9"/>
              <w:rPr>
                <w:rFonts w:ascii="Times New Roman"/>
                <w:sz w:val="21"/>
              </w:rPr>
            </w:pPr>
            <w:r>
              <w:rPr>
                <w:rFonts w:ascii="Times New Roman"/>
                <w:w w:val="100"/>
                <w:sz w:val="21"/>
              </w:rPr>
              <w:t>2</w:t>
            </w:r>
          </w:p>
        </w:tc>
        <w:tc>
          <w:tcPr>
            <w:tcW w:w="1263" w:type="dxa"/>
          </w:tcPr>
          <w:p>
            <w:pPr>
              <w:pStyle w:val="TableParagraph"/>
              <w:spacing w:before="137"/>
              <w:ind w:left="102" w:right="94"/>
              <w:rPr>
                <w:sz w:val="21"/>
              </w:rPr>
            </w:pPr>
            <w:r>
              <w:rPr>
                <w:sz w:val="21"/>
              </w:rPr>
              <w:t>乙腈</w:t>
            </w:r>
          </w:p>
        </w:tc>
        <w:tc>
          <w:tcPr>
            <w:tcW w:w="1702" w:type="dxa"/>
          </w:tcPr>
          <w:p>
            <w:pPr>
              <w:pStyle w:val="TableParagraph"/>
              <w:spacing w:before="137"/>
              <w:ind w:left="304" w:right="297"/>
              <w:rPr>
                <w:sz w:val="21"/>
              </w:rPr>
            </w:pPr>
            <w:r>
              <w:rPr>
                <w:sz w:val="21"/>
              </w:rPr>
              <w:t>易燃、易爆</w:t>
            </w:r>
          </w:p>
        </w:tc>
        <w:tc>
          <w:tcPr>
            <w:tcW w:w="1779" w:type="dxa"/>
          </w:tcPr>
          <w:p>
            <w:pPr>
              <w:pStyle w:val="TableParagraph"/>
              <w:spacing w:before="144"/>
              <w:ind w:left="101" w:right="96"/>
              <w:rPr>
                <w:rFonts w:ascii="Times New Roman"/>
                <w:sz w:val="21"/>
              </w:rPr>
            </w:pPr>
            <w:r>
              <w:rPr>
                <w:rFonts w:ascii="Times New Roman"/>
                <w:sz w:val="21"/>
              </w:rPr>
              <w:t>--</w:t>
            </w:r>
          </w:p>
        </w:tc>
        <w:tc>
          <w:tcPr>
            <w:tcW w:w="1777" w:type="dxa"/>
          </w:tcPr>
          <w:p>
            <w:pPr>
              <w:pStyle w:val="TableParagraph"/>
              <w:spacing w:before="144"/>
              <w:ind w:left="342" w:right="332"/>
              <w:rPr>
                <w:rFonts w:ascii="Times New Roman"/>
                <w:sz w:val="21"/>
              </w:rPr>
            </w:pPr>
            <w:r>
              <w:rPr>
                <w:rFonts w:ascii="Times New Roman"/>
                <w:sz w:val="21"/>
              </w:rPr>
              <w:t>--</w:t>
            </w:r>
          </w:p>
        </w:tc>
        <w:tc>
          <w:tcPr>
            <w:tcW w:w="1779" w:type="dxa"/>
          </w:tcPr>
          <w:p>
            <w:pPr>
              <w:pStyle w:val="TableParagraph"/>
              <w:spacing w:before="1"/>
              <w:ind w:left="101" w:right="96"/>
              <w:rPr>
                <w:sz w:val="21"/>
              </w:rPr>
            </w:pPr>
            <w:r>
              <w:rPr>
                <w:sz w:val="21"/>
              </w:rPr>
              <w:t>对水体和土壤可</w:t>
            </w:r>
          </w:p>
          <w:p>
            <w:pPr>
              <w:pStyle w:val="TableParagraph"/>
              <w:spacing w:line="252" w:lineRule="exact" w:before="2"/>
              <w:ind w:left="99" w:right="96"/>
              <w:rPr>
                <w:sz w:val="21"/>
              </w:rPr>
            </w:pPr>
            <w:r>
              <w:rPr>
                <w:sz w:val="21"/>
              </w:rPr>
              <w:t>造成污染</w:t>
            </w:r>
          </w:p>
        </w:tc>
      </w:tr>
      <w:tr>
        <w:trPr>
          <w:trHeight w:val="544" w:hRule="atLeast"/>
        </w:trPr>
        <w:tc>
          <w:tcPr>
            <w:tcW w:w="1123" w:type="dxa"/>
            <w:vMerge/>
            <w:tcBorders>
              <w:top w:val="nil"/>
            </w:tcBorders>
          </w:tcPr>
          <w:p>
            <w:pPr>
              <w:rPr>
                <w:sz w:val="2"/>
                <w:szCs w:val="2"/>
              </w:rPr>
            </w:pPr>
          </w:p>
        </w:tc>
        <w:tc>
          <w:tcPr>
            <w:tcW w:w="1889" w:type="dxa"/>
          </w:tcPr>
          <w:p>
            <w:pPr>
              <w:pStyle w:val="TableParagraph"/>
              <w:spacing w:before="137"/>
              <w:ind w:left="185" w:right="178"/>
              <w:rPr>
                <w:sz w:val="21"/>
              </w:rPr>
            </w:pPr>
            <w:r>
              <w:rPr>
                <w:sz w:val="21"/>
              </w:rPr>
              <w:t>酯化</w:t>
            </w:r>
          </w:p>
        </w:tc>
        <w:tc>
          <w:tcPr>
            <w:tcW w:w="931" w:type="dxa"/>
          </w:tcPr>
          <w:p>
            <w:pPr>
              <w:pStyle w:val="TableParagraph"/>
              <w:spacing w:before="137"/>
              <w:ind w:left="130" w:right="121"/>
              <w:rPr>
                <w:sz w:val="21"/>
              </w:rPr>
            </w:pPr>
            <w:r>
              <w:rPr>
                <w:sz w:val="21"/>
              </w:rPr>
              <w:t>酯化釜</w:t>
            </w:r>
          </w:p>
        </w:tc>
        <w:tc>
          <w:tcPr>
            <w:tcW w:w="1080" w:type="dxa"/>
          </w:tcPr>
          <w:p>
            <w:pPr>
              <w:pStyle w:val="TableParagraph"/>
              <w:spacing w:before="144"/>
              <w:ind w:left="141" w:right="132"/>
              <w:rPr>
                <w:rFonts w:ascii="Times New Roman"/>
                <w:sz w:val="21"/>
              </w:rPr>
            </w:pPr>
            <w:r>
              <w:rPr>
                <w:rFonts w:ascii="Times New Roman"/>
                <w:sz w:val="21"/>
              </w:rPr>
              <w:t>30m</w:t>
            </w:r>
            <w:r>
              <w:rPr>
                <w:rFonts w:ascii="Times New Roman"/>
                <w:sz w:val="21"/>
                <w:vertAlign w:val="superscript"/>
              </w:rPr>
              <w:t>3</w:t>
            </w:r>
          </w:p>
        </w:tc>
        <w:tc>
          <w:tcPr>
            <w:tcW w:w="898" w:type="dxa"/>
          </w:tcPr>
          <w:p>
            <w:pPr>
              <w:pStyle w:val="TableParagraph"/>
              <w:spacing w:before="144"/>
              <w:ind w:left="9"/>
              <w:rPr>
                <w:rFonts w:ascii="Times New Roman"/>
                <w:sz w:val="21"/>
              </w:rPr>
            </w:pPr>
            <w:r>
              <w:rPr>
                <w:rFonts w:ascii="Times New Roman"/>
                <w:w w:val="100"/>
                <w:sz w:val="21"/>
              </w:rPr>
              <w:t>1</w:t>
            </w:r>
          </w:p>
        </w:tc>
        <w:tc>
          <w:tcPr>
            <w:tcW w:w="1263" w:type="dxa"/>
          </w:tcPr>
          <w:p>
            <w:pPr>
              <w:pStyle w:val="TableParagraph"/>
              <w:spacing w:before="1"/>
              <w:ind w:left="107"/>
              <w:jc w:val="left"/>
              <w:rPr>
                <w:sz w:val="21"/>
              </w:rPr>
            </w:pPr>
            <w:r>
              <w:rPr>
                <w:spacing w:val="-2"/>
                <w:sz w:val="21"/>
              </w:rPr>
              <w:t>乙二醇、丙</w:t>
            </w:r>
          </w:p>
          <w:p>
            <w:pPr>
              <w:pStyle w:val="TableParagraph"/>
              <w:spacing w:line="252" w:lineRule="exact" w:before="2"/>
              <w:ind w:left="107"/>
              <w:jc w:val="left"/>
              <w:rPr>
                <w:sz w:val="21"/>
              </w:rPr>
            </w:pPr>
            <w:r>
              <w:rPr>
                <w:spacing w:val="-3"/>
                <w:sz w:val="21"/>
              </w:rPr>
              <w:t>二醇、醋酸</w:t>
            </w:r>
          </w:p>
        </w:tc>
        <w:tc>
          <w:tcPr>
            <w:tcW w:w="1702" w:type="dxa"/>
          </w:tcPr>
          <w:p>
            <w:pPr>
              <w:pStyle w:val="TableParagraph"/>
              <w:spacing w:before="137"/>
              <w:ind w:left="304" w:right="297"/>
              <w:rPr>
                <w:sz w:val="21"/>
              </w:rPr>
            </w:pPr>
            <w:r>
              <w:rPr>
                <w:sz w:val="21"/>
              </w:rPr>
              <w:t>液态、可燃</w:t>
            </w:r>
          </w:p>
        </w:tc>
        <w:tc>
          <w:tcPr>
            <w:tcW w:w="1779" w:type="dxa"/>
          </w:tcPr>
          <w:p>
            <w:pPr>
              <w:pStyle w:val="TableParagraph"/>
              <w:spacing w:before="144"/>
              <w:ind w:left="101" w:right="96"/>
              <w:rPr>
                <w:rFonts w:ascii="Times New Roman"/>
                <w:sz w:val="21"/>
              </w:rPr>
            </w:pPr>
            <w:r>
              <w:rPr>
                <w:rFonts w:ascii="Times New Roman"/>
                <w:sz w:val="21"/>
              </w:rPr>
              <w:t>--</w:t>
            </w:r>
          </w:p>
        </w:tc>
        <w:tc>
          <w:tcPr>
            <w:tcW w:w="1777" w:type="dxa"/>
          </w:tcPr>
          <w:p>
            <w:pPr>
              <w:pStyle w:val="TableParagraph"/>
              <w:spacing w:before="144"/>
              <w:ind w:left="342" w:right="332"/>
              <w:rPr>
                <w:rFonts w:ascii="Times New Roman"/>
                <w:sz w:val="21"/>
              </w:rPr>
            </w:pPr>
            <w:r>
              <w:rPr>
                <w:rFonts w:ascii="Times New Roman"/>
                <w:sz w:val="21"/>
              </w:rPr>
              <w:t>--</w:t>
            </w:r>
          </w:p>
        </w:tc>
        <w:tc>
          <w:tcPr>
            <w:tcW w:w="1779" w:type="dxa"/>
          </w:tcPr>
          <w:p>
            <w:pPr>
              <w:pStyle w:val="TableParagraph"/>
              <w:spacing w:before="1"/>
              <w:ind w:left="101" w:right="96"/>
              <w:rPr>
                <w:sz w:val="21"/>
              </w:rPr>
            </w:pPr>
            <w:r>
              <w:rPr>
                <w:sz w:val="21"/>
              </w:rPr>
              <w:t>对水体和土壤可</w:t>
            </w:r>
          </w:p>
          <w:p>
            <w:pPr>
              <w:pStyle w:val="TableParagraph"/>
              <w:spacing w:line="252" w:lineRule="exact" w:before="2"/>
              <w:ind w:left="99" w:right="96"/>
              <w:rPr>
                <w:sz w:val="21"/>
              </w:rPr>
            </w:pPr>
            <w:r>
              <w:rPr>
                <w:sz w:val="21"/>
              </w:rPr>
              <w:t>造成污染</w:t>
            </w:r>
          </w:p>
        </w:tc>
      </w:tr>
      <w:tr>
        <w:trPr>
          <w:trHeight w:val="817" w:hRule="atLeast"/>
        </w:trPr>
        <w:tc>
          <w:tcPr>
            <w:tcW w:w="1123" w:type="dxa"/>
            <w:vMerge w:val="restart"/>
          </w:tcPr>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spacing w:before="1"/>
              <w:jc w:val="left"/>
              <w:rPr>
                <w:rFonts w:ascii="Times New Roman"/>
                <w:sz w:val="27"/>
              </w:rPr>
            </w:pPr>
          </w:p>
          <w:p>
            <w:pPr>
              <w:pStyle w:val="TableParagraph"/>
              <w:spacing w:before="1"/>
              <w:ind w:left="138"/>
              <w:jc w:val="left"/>
              <w:rPr>
                <w:sz w:val="21"/>
              </w:rPr>
            </w:pPr>
            <w:r>
              <w:rPr>
                <w:sz w:val="21"/>
              </w:rPr>
              <w:t>辅助设施</w:t>
            </w:r>
          </w:p>
        </w:tc>
        <w:tc>
          <w:tcPr>
            <w:tcW w:w="1889" w:type="dxa"/>
          </w:tcPr>
          <w:p>
            <w:pPr>
              <w:pStyle w:val="TableParagraph"/>
              <w:spacing w:before="10"/>
              <w:jc w:val="left"/>
              <w:rPr>
                <w:rFonts w:ascii="Times New Roman"/>
                <w:sz w:val="23"/>
              </w:rPr>
            </w:pPr>
          </w:p>
          <w:p>
            <w:pPr>
              <w:pStyle w:val="TableParagraph"/>
              <w:ind w:left="187" w:right="178"/>
              <w:rPr>
                <w:sz w:val="21"/>
              </w:rPr>
            </w:pPr>
            <w:r>
              <w:rPr>
                <w:sz w:val="21"/>
              </w:rPr>
              <w:t>燃气锅炉</w:t>
            </w:r>
          </w:p>
        </w:tc>
        <w:tc>
          <w:tcPr>
            <w:tcW w:w="931" w:type="dxa"/>
          </w:tcPr>
          <w:p>
            <w:pPr>
              <w:pStyle w:val="TableParagraph"/>
              <w:spacing w:before="10"/>
              <w:jc w:val="left"/>
              <w:rPr>
                <w:rFonts w:ascii="Times New Roman"/>
                <w:sz w:val="23"/>
              </w:rPr>
            </w:pPr>
          </w:p>
          <w:p>
            <w:pPr>
              <w:pStyle w:val="TableParagraph"/>
              <w:ind w:left="130" w:right="121"/>
              <w:rPr>
                <w:sz w:val="21"/>
              </w:rPr>
            </w:pPr>
            <w:r>
              <w:rPr>
                <w:sz w:val="21"/>
              </w:rPr>
              <w:t>锅炉房</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line="242" w:lineRule="auto" w:before="1"/>
              <w:ind w:left="107" w:right="94"/>
              <w:rPr>
                <w:sz w:val="21"/>
              </w:rPr>
            </w:pPr>
            <w:r>
              <w:rPr>
                <w:sz w:val="21"/>
              </w:rPr>
              <w:t>粉尘、二氧化硫、氮氧</w:t>
            </w:r>
          </w:p>
          <w:p>
            <w:pPr>
              <w:pStyle w:val="TableParagraph"/>
              <w:spacing w:line="252" w:lineRule="exact" w:before="1"/>
              <w:ind w:left="102" w:right="94"/>
              <w:rPr>
                <w:sz w:val="21"/>
              </w:rPr>
            </w:pPr>
            <w:r>
              <w:rPr>
                <w:sz w:val="21"/>
              </w:rPr>
              <w:t>化物</w:t>
            </w:r>
          </w:p>
        </w:tc>
        <w:tc>
          <w:tcPr>
            <w:tcW w:w="1702" w:type="dxa"/>
          </w:tcPr>
          <w:p>
            <w:pPr>
              <w:pStyle w:val="TableParagraph"/>
              <w:spacing w:before="5"/>
              <w:jc w:val="left"/>
              <w:rPr>
                <w:rFonts w:ascii="Times New Roman"/>
                <w:sz w:val="24"/>
              </w:rPr>
            </w:pPr>
          </w:p>
          <w:p>
            <w:pPr>
              <w:pStyle w:val="TableParagraph"/>
              <w:ind w:left="304" w:right="294"/>
              <w:rPr>
                <w:rFonts w:ascii="Times New Roman"/>
                <w:sz w:val="21"/>
              </w:rPr>
            </w:pPr>
            <w:r>
              <w:rPr>
                <w:rFonts w:ascii="Times New Roman"/>
                <w:sz w:val="21"/>
              </w:rPr>
              <w:t>--</w:t>
            </w:r>
          </w:p>
        </w:tc>
        <w:tc>
          <w:tcPr>
            <w:tcW w:w="1779" w:type="dxa"/>
          </w:tcPr>
          <w:p>
            <w:pPr>
              <w:pStyle w:val="TableParagraph"/>
              <w:spacing w:before="5"/>
              <w:jc w:val="left"/>
              <w:rPr>
                <w:rFonts w:ascii="Times New Roman"/>
                <w:sz w:val="24"/>
              </w:rPr>
            </w:pPr>
          </w:p>
          <w:p>
            <w:pPr>
              <w:pStyle w:val="TableParagraph"/>
              <w:ind w:left="101" w:right="96"/>
              <w:rPr>
                <w:rFonts w:ascii="Times New Roman"/>
                <w:sz w:val="21"/>
              </w:rPr>
            </w:pPr>
            <w:r>
              <w:rPr>
                <w:rFonts w:ascii="Times New Roman"/>
                <w:sz w:val="21"/>
              </w:rPr>
              <w: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37"/>
              <w:ind w:left="779" w:right="143" w:hanging="629"/>
              <w:jc w:val="left"/>
              <w:rPr>
                <w:sz w:val="21"/>
              </w:rPr>
            </w:pPr>
            <w:r>
              <w:rPr>
                <w:sz w:val="21"/>
              </w:rPr>
              <w:t>引起大气环境污染</w:t>
            </w:r>
          </w:p>
        </w:tc>
      </w:tr>
      <w:tr>
        <w:trPr>
          <w:trHeight w:val="1089" w:hRule="atLeast"/>
        </w:trPr>
        <w:tc>
          <w:tcPr>
            <w:tcW w:w="1123" w:type="dxa"/>
            <w:vMerge/>
            <w:tcBorders>
              <w:top w:val="nil"/>
            </w:tcBorders>
          </w:tcPr>
          <w:p>
            <w:pPr>
              <w:rPr>
                <w:sz w:val="2"/>
                <w:szCs w:val="2"/>
              </w:rPr>
            </w:pPr>
          </w:p>
        </w:tc>
        <w:tc>
          <w:tcPr>
            <w:tcW w:w="1889" w:type="dxa"/>
            <w:vMerge w:val="restart"/>
          </w:tcPr>
          <w:p>
            <w:pPr>
              <w:pStyle w:val="TableParagraph"/>
              <w:jc w:val="left"/>
              <w:rPr>
                <w:rFonts w:ascii="Times New Roman"/>
                <w:sz w:val="20"/>
              </w:rPr>
            </w:pPr>
          </w:p>
          <w:p>
            <w:pPr>
              <w:pStyle w:val="TableParagraph"/>
              <w:jc w:val="left"/>
              <w:rPr>
                <w:rFonts w:ascii="Times New Roman"/>
                <w:sz w:val="20"/>
              </w:rPr>
            </w:pPr>
          </w:p>
          <w:p>
            <w:pPr>
              <w:pStyle w:val="TableParagraph"/>
              <w:jc w:val="left"/>
              <w:rPr>
                <w:rFonts w:ascii="Times New Roman"/>
                <w:sz w:val="20"/>
              </w:rPr>
            </w:pPr>
          </w:p>
          <w:p>
            <w:pPr>
              <w:pStyle w:val="TableParagraph"/>
              <w:spacing w:before="129"/>
              <w:ind w:left="311"/>
              <w:jc w:val="left"/>
              <w:rPr>
                <w:sz w:val="21"/>
              </w:rPr>
            </w:pPr>
            <w:r>
              <w:rPr>
                <w:sz w:val="21"/>
              </w:rPr>
              <w:t>环保处理设施</w:t>
            </w:r>
          </w:p>
        </w:tc>
        <w:tc>
          <w:tcPr>
            <w:tcW w:w="931" w:type="dxa"/>
          </w:tcPr>
          <w:p>
            <w:pPr>
              <w:pStyle w:val="TableParagraph"/>
              <w:spacing w:before="7"/>
              <w:jc w:val="left"/>
              <w:rPr>
                <w:rFonts w:ascii="Times New Roman"/>
                <w:sz w:val="23"/>
              </w:rPr>
            </w:pPr>
          </w:p>
          <w:p>
            <w:pPr>
              <w:pStyle w:val="TableParagraph"/>
              <w:spacing w:line="242" w:lineRule="auto"/>
              <w:ind w:left="254" w:right="134" w:hanging="104"/>
              <w:jc w:val="left"/>
              <w:rPr>
                <w:sz w:val="21"/>
              </w:rPr>
            </w:pPr>
            <w:r>
              <w:rPr>
                <w:sz w:val="21"/>
              </w:rPr>
              <w:t>污水处理站</w:t>
            </w:r>
          </w:p>
        </w:tc>
        <w:tc>
          <w:tcPr>
            <w:tcW w:w="1080" w:type="dxa"/>
          </w:tcPr>
          <w:p>
            <w:pPr>
              <w:pStyle w:val="TableParagraph"/>
              <w:jc w:val="left"/>
              <w:rPr>
                <w:rFonts w:ascii="Times New Roman"/>
                <w:sz w:val="22"/>
              </w:rPr>
            </w:pPr>
          </w:p>
          <w:p>
            <w:pPr>
              <w:pStyle w:val="TableParagraph"/>
              <w:spacing w:before="163"/>
              <w:ind w:left="141" w:right="130"/>
              <w:rPr>
                <w:rFonts w:ascii="Times New Roman"/>
                <w:sz w:val="21"/>
              </w:rPr>
            </w:pPr>
            <w:r>
              <w:rPr>
                <w:rFonts w:ascii="Times New Roman"/>
                <w:sz w:val="21"/>
              </w:rPr>
              <w:t>--</w:t>
            </w:r>
          </w:p>
        </w:tc>
        <w:tc>
          <w:tcPr>
            <w:tcW w:w="898" w:type="dxa"/>
          </w:tcPr>
          <w:p>
            <w:pPr>
              <w:pStyle w:val="TableParagraph"/>
              <w:jc w:val="left"/>
              <w:rPr>
                <w:rFonts w:ascii="Times New Roman"/>
                <w:sz w:val="22"/>
              </w:rPr>
            </w:pPr>
          </w:p>
          <w:p>
            <w:pPr>
              <w:pStyle w:val="TableParagraph"/>
              <w:spacing w:before="163"/>
              <w:ind w:left="9"/>
              <w:rPr>
                <w:rFonts w:ascii="Times New Roman"/>
                <w:sz w:val="21"/>
              </w:rPr>
            </w:pPr>
            <w:r>
              <w:rPr>
                <w:rFonts w:ascii="Times New Roman"/>
                <w:w w:val="100"/>
                <w:sz w:val="21"/>
              </w:rPr>
              <w:t>1</w:t>
            </w:r>
          </w:p>
        </w:tc>
        <w:tc>
          <w:tcPr>
            <w:tcW w:w="1263" w:type="dxa"/>
          </w:tcPr>
          <w:p>
            <w:pPr>
              <w:pStyle w:val="TableParagraph"/>
              <w:spacing w:before="7"/>
              <w:jc w:val="left"/>
              <w:rPr>
                <w:rFonts w:ascii="Times New Roman"/>
                <w:sz w:val="23"/>
              </w:rPr>
            </w:pPr>
          </w:p>
          <w:p>
            <w:pPr>
              <w:pStyle w:val="TableParagraph"/>
              <w:spacing w:line="242" w:lineRule="auto"/>
              <w:ind w:left="419" w:right="94" w:hanging="312"/>
              <w:jc w:val="left"/>
              <w:rPr>
                <w:sz w:val="21"/>
              </w:rPr>
            </w:pPr>
            <w:r>
              <w:rPr>
                <w:sz w:val="21"/>
              </w:rPr>
              <w:t>恶臭、生产废水</w:t>
            </w:r>
          </w:p>
        </w:tc>
        <w:tc>
          <w:tcPr>
            <w:tcW w:w="1702" w:type="dxa"/>
          </w:tcPr>
          <w:p>
            <w:pPr>
              <w:pStyle w:val="TableParagraph"/>
              <w:jc w:val="left"/>
              <w:rPr>
                <w:rFonts w:ascii="Times New Roman"/>
                <w:sz w:val="22"/>
              </w:rPr>
            </w:pPr>
          </w:p>
          <w:p>
            <w:pPr>
              <w:pStyle w:val="TableParagraph"/>
              <w:spacing w:before="163"/>
              <w:ind w:left="304" w:right="294"/>
              <w:rPr>
                <w:rFonts w:ascii="Times New Roman"/>
                <w:sz w:val="21"/>
              </w:rPr>
            </w:pPr>
            <w:r>
              <w:rPr>
                <w:rFonts w:ascii="Times New Roman"/>
                <w:sz w:val="21"/>
              </w:rPr>
              <w:t>--</w:t>
            </w:r>
          </w:p>
        </w:tc>
        <w:tc>
          <w:tcPr>
            <w:tcW w:w="1779" w:type="dxa"/>
          </w:tcPr>
          <w:p>
            <w:pPr>
              <w:pStyle w:val="TableParagraph"/>
              <w:jc w:val="left"/>
              <w:rPr>
                <w:rFonts w:ascii="Times New Roman"/>
                <w:sz w:val="22"/>
              </w:rPr>
            </w:pPr>
          </w:p>
          <w:p>
            <w:pPr>
              <w:pStyle w:val="TableParagraph"/>
              <w:spacing w:before="163"/>
              <w:ind w:left="101" w:right="96"/>
              <w:rPr>
                <w:rFonts w:ascii="Times New Roman"/>
                <w:sz w:val="21"/>
              </w:rPr>
            </w:pPr>
            <w:r>
              <w:rPr>
                <w:rFonts w:ascii="Times New Roman"/>
                <w:sz w:val="21"/>
              </w:rPr>
              <w:t>--</w:t>
            </w:r>
          </w:p>
        </w:tc>
        <w:tc>
          <w:tcPr>
            <w:tcW w:w="1777" w:type="dxa"/>
          </w:tcPr>
          <w:p>
            <w:pPr>
              <w:pStyle w:val="TableParagraph"/>
              <w:jc w:val="left"/>
              <w:rPr>
                <w:rFonts w:ascii="Times New Roman"/>
                <w:sz w:val="22"/>
              </w:rPr>
            </w:pPr>
          </w:p>
          <w:p>
            <w:pPr>
              <w:pStyle w:val="TableParagraph"/>
              <w:spacing w:before="163"/>
              <w:ind w:left="342" w:right="332"/>
              <w:rPr>
                <w:rFonts w:ascii="Times New Roman"/>
                <w:sz w:val="21"/>
              </w:rPr>
            </w:pPr>
            <w:r>
              <w:rPr>
                <w:rFonts w:ascii="Times New Roman"/>
                <w:sz w:val="21"/>
              </w:rPr>
              <w:t>--</w:t>
            </w:r>
          </w:p>
        </w:tc>
        <w:tc>
          <w:tcPr>
            <w:tcW w:w="1779" w:type="dxa"/>
          </w:tcPr>
          <w:p>
            <w:pPr>
              <w:pStyle w:val="TableParagraph"/>
              <w:spacing w:line="242" w:lineRule="auto" w:before="1"/>
              <w:ind w:left="104" w:right="-15" w:hanging="106"/>
              <w:rPr>
                <w:sz w:val="21"/>
              </w:rPr>
            </w:pPr>
            <w:r>
              <w:rPr>
                <w:spacing w:val="-2"/>
                <w:sz w:val="21"/>
              </w:rPr>
              <w:t>引起大气环境污  </w:t>
            </w:r>
            <w:r>
              <w:rPr>
                <w:spacing w:val="-5"/>
                <w:sz w:val="21"/>
              </w:rPr>
              <w:t>染、引起地表水、</w:t>
            </w:r>
            <w:r>
              <w:rPr>
                <w:spacing w:val="-4"/>
                <w:sz w:val="21"/>
              </w:rPr>
              <w:t>地下水、土壤污</w:t>
            </w:r>
          </w:p>
          <w:p>
            <w:pPr>
              <w:pStyle w:val="TableParagraph"/>
              <w:spacing w:line="252" w:lineRule="exact" w:before="1"/>
              <w:rPr>
                <w:sz w:val="21"/>
              </w:rPr>
            </w:pPr>
            <w:r>
              <w:rPr>
                <w:w w:val="100"/>
                <w:sz w:val="21"/>
              </w:rPr>
              <w:t>染</w:t>
            </w:r>
          </w:p>
        </w:tc>
      </w:tr>
      <w:tr>
        <w:trPr>
          <w:trHeight w:val="815" w:hRule="atLeast"/>
        </w:trPr>
        <w:tc>
          <w:tcPr>
            <w:tcW w:w="1123" w:type="dxa"/>
            <w:vMerge/>
            <w:tcBorders>
              <w:top w:val="nil"/>
            </w:tcBorders>
          </w:tcPr>
          <w:p>
            <w:pPr>
              <w:rPr>
                <w:sz w:val="2"/>
                <w:szCs w:val="2"/>
              </w:rPr>
            </w:pPr>
          </w:p>
        </w:tc>
        <w:tc>
          <w:tcPr>
            <w:tcW w:w="1889" w:type="dxa"/>
            <w:vMerge/>
            <w:tcBorders>
              <w:top w:val="nil"/>
            </w:tcBorders>
          </w:tcPr>
          <w:p>
            <w:pPr>
              <w:rPr>
                <w:sz w:val="2"/>
                <w:szCs w:val="2"/>
              </w:rPr>
            </w:pPr>
          </w:p>
        </w:tc>
        <w:tc>
          <w:tcPr>
            <w:tcW w:w="931" w:type="dxa"/>
          </w:tcPr>
          <w:p>
            <w:pPr>
              <w:pStyle w:val="TableParagraph"/>
              <w:spacing w:line="242" w:lineRule="auto" w:before="1"/>
              <w:ind w:left="150" w:right="134"/>
              <w:rPr>
                <w:sz w:val="21"/>
              </w:rPr>
            </w:pPr>
            <w:r>
              <w:rPr>
                <w:sz w:val="21"/>
              </w:rPr>
              <w:t>乙腈和氨气尾</w:t>
            </w:r>
          </w:p>
          <w:p>
            <w:pPr>
              <w:pStyle w:val="TableParagraph"/>
              <w:spacing w:line="250" w:lineRule="exact" w:before="1"/>
              <w:ind w:left="9"/>
              <w:rPr>
                <w:sz w:val="21"/>
              </w:rPr>
            </w:pPr>
            <w:r>
              <w:rPr>
                <w:w w:val="100"/>
                <w:sz w:val="21"/>
              </w:rPr>
              <w:t>气</w:t>
            </w:r>
          </w:p>
        </w:tc>
        <w:tc>
          <w:tcPr>
            <w:tcW w:w="1080" w:type="dxa"/>
          </w:tcPr>
          <w:p>
            <w:pPr>
              <w:pStyle w:val="TableParagraph"/>
              <w:spacing w:before="5"/>
              <w:jc w:val="left"/>
              <w:rPr>
                <w:rFonts w:ascii="Times New Roman"/>
                <w:sz w:val="24"/>
              </w:rPr>
            </w:pPr>
          </w:p>
          <w:p>
            <w:pPr>
              <w:pStyle w:val="TableParagraph"/>
              <w:ind w:left="141" w:right="130"/>
              <w:rPr>
                <w:rFonts w:ascii="Times New Roman"/>
                <w:sz w:val="21"/>
              </w:rPr>
            </w:pPr>
            <w:r>
              <w:rPr>
                <w:rFonts w:ascii="Times New Roman"/>
                <w:sz w:val="21"/>
              </w:rPr>
              <w:t>--</w:t>
            </w:r>
          </w:p>
        </w:tc>
        <w:tc>
          <w:tcPr>
            <w:tcW w:w="898" w:type="dxa"/>
          </w:tcPr>
          <w:p>
            <w:pPr>
              <w:pStyle w:val="TableParagraph"/>
              <w:spacing w:before="5"/>
              <w:jc w:val="left"/>
              <w:rPr>
                <w:rFonts w:ascii="Times New Roman"/>
                <w:sz w:val="24"/>
              </w:rPr>
            </w:pPr>
          </w:p>
          <w:p>
            <w:pPr>
              <w:pStyle w:val="TableParagraph"/>
              <w:ind w:left="9"/>
              <w:rPr>
                <w:rFonts w:ascii="Times New Roman"/>
                <w:sz w:val="21"/>
              </w:rPr>
            </w:pPr>
            <w:r>
              <w:rPr>
                <w:rFonts w:ascii="Times New Roman"/>
                <w:w w:val="100"/>
                <w:sz w:val="21"/>
              </w:rPr>
              <w:t>1</w:t>
            </w:r>
          </w:p>
        </w:tc>
        <w:tc>
          <w:tcPr>
            <w:tcW w:w="1263" w:type="dxa"/>
          </w:tcPr>
          <w:p>
            <w:pPr>
              <w:pStyle w:val="TableParagraph"/>
              <w:spacing w:before="10"/>
              <w:jc w:val="left"/>
              <w:rPr>
                <w:rFonts w:ascii="Times New Roman"/>
                <w:sz w:val="23"/>
              </w:rPr>
            </w:pPr>
          </w:p>
          <w:p>
            <w:pPr>
              <w:pStyle w:val="TableParagraph"/>
              <w:ind w:left="86" w:right="76"/>
              <w:rPr>
                <w:sz w:val="21"/>
              </w:rPr>
            </w:pPr>
            <w:r>
              <w:rPr>
                <w:sz w:val="21"/>
              </w:rPr>
              <w:t>乙腈、氨气</w:t>
            </w:r>
          </w:p>
        </w:tc>
        <w:tc>
          <w:tcPr>
            <w:tcW w:w="1702" w:type="dxa"/>
          </w:tcPr>
          <w:p>
            <w:pPr>
              <w:pStyle w:val="TableParagraph"/>
              <w:spacing w:before="5"/>
              <w:jc w:val="left"/>
              <w:rPr>
                <w:rFonts w:ascii="Times New Roman"/>
                <w:sz w:val="24"/>
              </w:rPr>
            </w:pPr>
          </w:p>
          <w:p>
            <w:pPr>
              <w:pStyle w:val="TableParagraph"/>
              <w:ind w:left="304" w:right="294"/>
              <w:rPr>
                <w:rFonts w:ascii="Times New Roman"/>
                <w:sz w:val="21"/>
              </w:rPr>
            </w:pPr>
            <w:r>
              <w:rPr>
                <w:rFonts w:ascii="Times New Roman"/>
                <w:sz w:val="21"/>
              </w:rPr>
              <w:t>--</w:t>
            </w:r>
          </w:p>
        </w:tc>
        <w:tc>
          <w:tcPr>
            <w:tcW w:w="1779" w:type="dxa"/>
          </w:tcPr>
          <w:p>
            <w:pPr>
              <w:pStyle w:val="TableParagraph"/>
              <w:spacing w:before="5"/>
              <w:jc w:val="left"/>
              <w:rPr>
                <w:rFonts w:ascii="Times New Roman"/>
                <w:sz w:val="24"/>
              </w:rPr>
            </w:pPr>
          </w:p>
          <w:p>
            <w:pPr>
              <w:pStyle w:val="TableParagraph"/>
              <w:ind w:left="101" w:right="96"/>
              <w:rPr>
                <w:rFonts w:ascii="Times New Roman"/>
                <w:sz w:val="21"/>
              </w:rPr>
            </w:pPr>
            <w:r>
              <w:rPr>
                <w:rFonts w:ascii="Times New Roman"/>
                <w:sz w:val="21"/>
              </w:rPr>
              <w:t>--</w:t>
            </w:r>
          </w:p>
        </w:tc>
        <w:tc>
          <w:tcPr>
            <w:tcW w:w="1777" w:type="dxa"/>
          </w:tcPr>
          <w:p>
            <w:pPr>
              <w:pStyle w:val="TableParagraph"/>
              <w:spacing w:before="5"/>
              <w:jc w:val="left"/>
              <w:rPr>
                <w:rFonts w:ascii="Times New Roman"/>
                <w:sz w:val="24"/>
              </w:rPr>
            </w:pPr>
          </w:p>
          <w:p>
            <w:pPr>
              <w:pStyle w:val="TableParagraph"/>
              <w:ind w:left="342" w:right="332"/>
              <w:rPr>
                <w:rFonts w:ascii="Times New Roman"/>
                <w:sz w:val="21"/>
              </w:rPr>
            </w:pPr>
            <w:r>
              <w:rPr>
                <w:rFonts w:ascii="Times New Roman"/>
                <w:sz w:val="21"/>
              </w:rPr>
              <w:t>--</w:t>
            </w:r>
          </w:p>
        </w:tc>
        <w:tc>
          <w:tcPr>
            <w:tcW w:w="1779" w:type="dxa"/>
          </w:tcPr>
          <w:p>
            <w:pPr>
              <w:pStyle w:val="TableParagraph"/>
              <w:spacing w:line="242" w:lineRule="auto" w:before="137"/>
              <w:ind w:left="779" w:right="143" w:hanging="629"/>
              <w:jc w:val="left"/>
              <w:rPr>
                <w:sz w:val="21"/>
              </w:rPr>
            </w:pPr>
            <w:r>
              <w:rPr>
                <w:sz w:val="21"/>
              </w:rPr>
              <w:t>引起大气环境污染</w:t>
            </w:r>
          </w:p>
        </w:tc>
      </w:tr>
    </w:tbl>
    <w:p>
      <w:pPr>
        <w:spacing w:after="0" w:line="242" w:lineRule="auto"/>
        <w:jc w:val="left"/>
        <w:rPr>
          <w:sz w:val="21"/>
        </w:rPr>
        <w:sectPr>
          <w:pgSz w:w="16840" w:h="11910" w:orient="landscape"/>
          <w:pgMar w:header="0" w:footer="951" w:top="1100" w:bottom="1140" w:left="920" w:right="1480"/>
        </w:sectPr>
      </w:pPr>
    </w:p>
    <w:p>
      <w:pPr>
        <w:pStyle w:val="ListParagraph"/>
        <w:numPr>
          <w:ilvl w:val="1"/>
          <w:numId w:val="9"/>
        </w:numPr>
        <w:tabs>
          <w:tab w:pos="1237" w:val="left" w:leader="none"/>
        </w:tabs>
        <w:spacing w:line="240" w:lineRule="auto" w:before="102" w:after="0"/>
        <w:ind w:left="1236" w:right="0" w:hanging="496"/>
        <w:jc w:val="left"/>
        <w:rPr>
          <w:b/>
          <w:sz w:val="28"/>
        </w:rPr>
      </w:pPr>
      <w:bookmarkStart w:name="_TOC_250050" w:id="18"/>
      <w:bookmarkEnd w:id="18"/>
      <w:r>
        <w:rPr>
          <w:b/>
          <w:sz w:val="28"/>
        </w:rPr>
        <w:t>环境风险目标的确定</w:t>
      </w:r>
    </w:p>
    <w:p>
      <w:pPr>
        <w:pStyle w:val="BodyText"/>
        <w:spacing w:line="364" w:lineRule="auto" w:before="186"/>
        <w:ind w:left="741" w:right="821" w:firstLine="559"/>
      </w:pPr>
      <w:r>
        <w:rPr/>
        <w:t>根据各风险源的风险特性及事故发生后的危害性程度确定本公司的环境风险目标见表 3-2-1。</w:t>
      </w:r>
    </w:p>
    <w:p>
      <w:pPr>
        <w:spacing w:before="1" w:after="4"/>
        <w:ind w:left="3444" w:right="0" w:firstLine="0"/>
        <w:jc w:val="left"/>
        <w:rPr>
          <w:b/>
          <w:sz w:val="28"/>
        </w:rPr>
      </w:pPr>
      <w:r>
        <w:rPr>
          <w:b/>
          <w:sz w:val="28"/>
        </w:rPr>
        <w:t>表 3-2-1 环境风险目标汇总表</w:t>
      </w:r>
    </w:p>
    <w:tbl>
      <w:tblPr>
        <w:tblW w:w="0" w:type="auto"/>
        <w:jc w:val="left"/>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2976"/>
        <w:gridCol w:w="1757"/>
      </w:tblGrid>
      <w:tr>
        <w:trPr>
          <w:trHeight w:val="467" w:hRule="atLeast"/>
        </w:trPr>
        <w:tc>
          <w:tcPr>
            <w:tcW w:w="1526" w:type="dxa"/>
          </w:tcPr>
          <w:p>
            <w:pPr>
              <w:pStyle w:val="TableParagraph"/>
              <w:ind w:left="283"/>
              <w:jc w:val="left"/>
              <w:rPr>
                <w:sz w:val="24"/>
              </w:rPr>
            </w:pPr>
            <w:r>
              <w:rPr>
                <w:sz w:val="24"/>
              </w:rPr>
              <w:t>风险目标</w:t>
            </w:r>
          </w:p>
        </w:tc>
        <w:tc>
          <w:tcPr>
            <w:tcW w:w="2268" w:type="dxa"/>
          </w:tcPr>
          <w:p>
            <w:pPr>
              <w:pStyle w:val="TableParagraph"/>
              <w:ind w:left="153" w:right="145"/>
              <w:rPr>
                <w:sz w:val="24"/>
              </w:rPr>
            </w:pPr>
            <w:r>
              <w:rPr>
                <w:sz w:val="24"/>
              </w:rPr>
              <w:t>风险位置</w:t>
            </w:r>
          </w:p>
        </w:tc>
        <w:tc>
          <w:tcPr>
            <w:tcW w:w="2976" w:type="dxa"/>
          </w:tcPr>
          <w:p>
            <w:pPr>
              <w:pStyle w:val="TableParagraph"/>
              <w:ind w:left="28" w:right="18"/>
              <w:rPr>
                <w:sz w:val="24"/>
              </w:rPr>
            </w:pPr>
            <w:r>
              <w:rPr>
                <w:sz w:val="24"/>
              </w:rPr>
              <w:t>介质</w:t>
            </w:r>
          </w:p>
        </w:tc>
        <w:tc>
          <w:tcPr>
            <w:tcW w:w="1757" w:type="dxa"/>
          </w:tcPr>
          <w:p>
            <w:pPr>
              <w:pStyle w:val="TableParagraph"/>
              <w:ind w:left="108" w:right="-29"/>
              <w:rPr>
                <w:sz w:val="24"/>
              </w:rPr>
            </w:pPr>
            <w:r>
              <w:rPr>
                <w:spacing w:val="-5"/>
                <w:sz w:val="24"/>
              </w:rPr>
              <w:t>最大储量</w:t>
            </w:r>
            <w:r>
              <w:rPr>
                <w:sz w:val="24"/>
              </w:rPr>
              <w:t>（吨</w:t>
            </w:r>
            <w:r>
              <w:rPr>
                <w:spacing w:val="-12"/>
                <w:sz w:val="24"/>
              </w:rPr>
              <w:t>）</w:t>
            </w:r>
          </w:p>
        </w:tc>
      </w:tr>
      <w:tr>
        <w:trPr>
          <w:trHeight w:val="465" w:hRule="atLeast"/>
        </w:trPr>
        <w:tc>
          <w:tcPr>
            <w:tcW w:w="1526" w:type="dxa"/>
          </w:tcPr>
          <w:p>
            <w:pPr>
              <w:pStyle w:val="TableParagraph"/>
              <w:ind w:left="311"/>
              <w:jc w:val="left"/>
              <w:rPr>
                <w:sz w:val="24"/>
              </w:rPr>
            </w:pPr>
            <w:r>
              <w:rPr>
                <w:sz w:val="24"/>
              </w:rPr>
              <w:t>1 号目标</w:t>
            </w:r>
          </w:p>
        </w:tc>
        <w:tc>
          <w:tcPr>
            <w:tcW w:w="2268" w:type="dxa"/>
          </w:tcPr>
          <w:p>
            <w:pPr>
              <w:pStyle w:val="TableParagraph"/>
              <w:spacing w:before="76"/>
              <w:ind w:left="153" w:right="145"/>
              <w:rPr>
                <w:sz w:val="24"/>
              </w:rPr>
            </w:pPr>
            <w:r>
              <w:rPr>
                <w:sz w:val="24"/>
              </w:rPr>
              <w:t>液氨储存区</w:t>
            </w:r>
          </w:p>
        </w:tc>
        <w:tc>
          <w:tcPr>
            <w:tcW w:w="2976" w:type="dxa"/>
          </w:tcPr>
          <w:p>
            <w:pPr>
              <w:pStyle w:val="TableParagraph"/>
              <w:ind w:left="28" w:right="18"/>
              <w:rPr>
                <w:sz w:val="24"/>
              </w:rPr>
            </w:pPr>
            <w:r>
              <w:rPr>
                <w:sz w:val="24"/>
              </w:rPr>
              <w:t>液氨</w:t>
            </w:r>
          </w:p>
        </w:tc>
        <w:tc>
          <w:tcPr>
            <w:tcW w:w="1757" w:type="dxa"/>
          </w:tcPr>
          <w:p>
            <w:pPr>
              <w:pStyle w:val="TableParagraph"/>
              <w:ind w:left="108" w:right="98"/>
              <w:rPr>
                <w:sz w:val="24"/>
              </w:rPr>
            </w:pPr>
            <w:r>
              <w:rPr>
                <w:sz w:val="24"/>
              </w:rPr>
              <w:t>19.7</w:t>
            </w:r>
          </w:p>
        </w:tc>
      </w:tr>
      <w:tr>
        <w:trPr>
          <w:trHeight w:val="467" w:hRule="atLeast"/>
        </w:trPr>
        <w:tc>
          <w:tcPr>
            <w:tcW w:w="1526" w:type="dxa"/>
          </w:tcPr>
          <w:p>
            <w:pPr>
              <w:pStyle w:val="TableParagraph"/>
              <w:ind w:left="311"/>
              <w:jc w:val="left"/>
              <w:rPr>
                <w:sz w:val="24"/>
              </w:rPr>
            </w:pPr>
            <w:r>
              <w:rPr>
                <w:sz w:val="24"/>
              </w:rPr>
              <w:t>2 号目标</w:t>
            </w:r>
          </w:p>
        </w:tc>
        <w:tc>
          <w:tcPr>
            <w:tcW w:w="2268" w:type="dxa"/>
          </w:tcPr>
          <w:p>
            <w:pPr>
              <w:pStyle w:val="TableParagraph"/>
              <w:spacing w:before="76"/>
              <w:ind w:left="153" w:right="145"/>
              <w:rPr>
                <w:sz w:val="24"/>
              </w:rPr>
            </w:pPr>
            <w:r>
              <w:rPr>
                <w:sz w:val="24"/>
              </w:rPr>
              <w:t>乙腈储罐区</w:t>
            </w:r>
          </w:p>
        </w:tc>
        <w:tc>
          <w:tcPr>
            <w:tcW w:w="2976" w:type="dxa"/>
          </w:tcPr>
          <w:p>
            <w:pPr>
              <w:pStyle w:val="TableParagraph"/>
              <w:spacing w:before="76"/>
              <w:ind w:left="28" w:right="18"/>
              <w:rPr>
                <w:sz w:val="24"/>
              </w:rPr>
            </w:pPr>
            <w:r>
              <w:rPr>
                <w:sz w:val="24"/>
              </w:rPr>
              <w:t>乙腈</w:t>
            </w:r>
          </w:p>
        </w:tc>
        <w:tc>
          <w:tcPr>
            <w:tcW w:w="1757" w:type="dxa"/>
          </w:tcPr>
          <w:p>
            <w:pPr>
              <w:pStyle w:val="TableParagraph"/>
              <w:ind w:left="108" w:right="98"/>
              <w:rPr>
                <w:sz w:val="24"/>
              </w:rPr>
            </w:pPr>
            <w:r>
              <w:rPr>
                <w:sz w:val="24"/>
              </w:rPr>
              <w:t>190</w:t>
            </w:r>
          </w:p>
        </w:tc>
      </w:tr>
      <w:tr>
        <w:trPr>
          <w:trHeight w:val="467" w:hRule="atLeast"/>
        </w:trPr>
        <w:tc>
          <w:tcPr>
            <w:tcW w:w="1526" w:type="dxa"/>
          </w:tcPr>
          <w:p>
            <w:pPr>
              <w:pStyle w:val="TableParagraph"/>
              <w:ind w:left="311"/>
              <w:jc w:val="left"/>
              <w:rPr>
                <w:sz w:val="24"/>
              </w:rPr>
            </w:pPr>
            <w:r>
              <w:rPr>
                <w:sz w:val="24"/>
              </w:rPr>
              <w:t>3 号目标</w:t>
            </w:r>
          </w:p>
        </w:tc>
        <w:tc>
          <w:tcPr>
            <w:tcW w:w="2268" w:type="dxa"/>
          </w:tcPr>
          <w:p>
            <w:pPr>
              <w:pStyle w:val="TableParagraph"/>
              <w:spacing w:before="76"/>
              <w:ind w:left="153" w:right="145"/>
              <w:rPr>
                <w:sz w:val="24"/>
              </w:rPr>
            </w:pPr>
            <w:r>
              <w:rPr>
                <w:sz w:val="24"/>
              </w:rPr>
              <w:t>乙二醇储罐区</w:t>
            </w:r>
          </w:p>
        </w:tc>
        <w:tc>
          <w:tcPr>
            <w:tcW w:w="2976" w:type="dxa"/>
          </w:tcPr>
          <w:p>
            <w:pPr>
              <w:pStyle w:val="TableParagraph"/>
              <w:ind w:left="28" w:right="18"/>
              <w:rPr>
                <w:sz w:val="24"/>
              </w:rPr>
            </w:pPr>
            <w:r>
              <w:rPr>
                <w:sz w:val="24"/>
              </w:rPr>
              <w:t>乙二醇</w:t>
            </w:r>
          </w:p>
        </w:tc>
        <w:tc>
          <w:tcPr>
            <w:tcW w:w="1757" w:type="dxa"/>
          </w:tcPr>
          <w:p>
            <w:pPr>
              <w:pStyle w:val="TableParagraph"/>
              <w:ind w:left="108" w:right="98"/>
              <w:rPr>
                <w:sz w:val="24"/>
              </w:rPr>
            </w:pPr>
            <w:r>
              <w:rPr>
                <w:sz w:val="24"/>
              </w:rPr>
              <w:t>235</w:t>
            </w:r>
          </w:p>
        </w:tc>
      </w:tr>
      <w:tr>
        <w:trPr>
          <w:trHeight w:val="465" w:hRule="atLeast"/>
        </w:trPr>
        <w:tc>
          <w:tcPr>
            <w:tcW w:w="1526" w:type="dxa"/>
          </w:tcPr>
          <w:p>
            <w:pPr>
              <w:pStyle w:val="TableParagraph"/>
              <w:ind w:left="311"/>
              <w:jc w:val="left"/>
              <w:rPr>
                <w:sz w:val="24"/>
              </w:rPr>
            </w:pPr>
            <w:r>
              <w:rPr>
                <w:sz w:val="24"/>
              </w:rPr>
              <w:t>4 号目标</w:t>
            </w:r>
          </w:p>
        </w:tc>
        <w:tc>
          <w:tcPr>
            <w:tcW w:w="2268" w:type="dxa"/>
          </w:tcPr>
          <w:p>
            <w:pPr>
              <w:pStyle w:val="TableParagraph"/>
              <w:spacing w:before="76"/>
              <w:ind w:left="153" w:right="145"/>
              <w:rPr>
                <w:sz w:val="24"/>
              </w:rPr>
            </w:pPr>
            <w:r>
              <w:rPr>
                <w:sz w:val="24"/>
              </w:rPr>
              <w:t>丙二醇储罐区</w:t>
            </w:r>
          </w:p>
        </w:tc>
        <w:tc>
          <w:tcPr>
            <w:tcW w:w="2976" w:type="dxa"/>
          </w:tcPr>
          <w:p>
            <w:pPr>
              <w:pStyle w:val="TableParagraph"/>
              <w:ind w:left="28" w:right="18"/>
              <w:rPr>
                <w:sz w:val="24"/>
              </w:rPr>
            </w:pPr>
            <w:r>
              <w:rPr>
                <w:sz w:val="24"/>
              </w:rPr>
              <w:t>丙二醇</w:t>
            </w:r>
          </w:p>
        </w:tc>
        <w:tc>
          <w:tcPr>
            <w:tcW w:w="1757" w:type="dxa"/>
          </w:tcPr>
          <w:p>
            <w:pPr>
              <w:pStyle w:val="TableParagraph"/>
              <w:ind w:left="108" w:right="98"/>
              <w:rPr>
                <w:sz w:val="24"/>
              </w:rPr>
            </w:pPr>
            <w:r>
              <w:rPr>
                <w:sz w:val="24"/>
              </w:rPr>
              <w:t>235</w:t>
            </w:r>
          </w:p>
        </w:tc>
      </w:tr>
      <w:tr>
        <w:trPr>
          <w:trHeight w:val="467" w:hRule="atLeast"/>
        </w:trPr>
        <w:tc>
          <w:tcPr>
            <w:tcW w:w="1526" w:type="dxa"/>
          </w:tcPr>
          <w:p>
            <w:pPr>
              <w:pStyle w:val="TableParagraph"/>
              <w:ind w:left="311"/>
              <w:jc w:val="left"/>
              <w:rPr>
                <w:sz w:val="24"/>
              </w:rPr>
            </w:pPr>
            <w:r>
              <w:rPr>
                <w:sz w:val="24"/>
              </w:rPr>
              <w:t>5 号目标</w:t>
            </w:r>
          </w:p>
        </w:tc>
        <w:tc>
          <w:tcPr>
            <w:tcW w:w="2268" w:type="dxa"/>
          </w:tcPr>
          <w:p>
            <w:pPr>
              <w:pStyle w:val="TableParagraph"/>
              <w:spacing w:before="76"/>
              <w:ind w:left="153" w:right="145"/>
              <w:rPr>
                <w:sz w:val="24"/>
              </w:rPr>
            </w:pPr>
            <w:r>
              <w:rPr>
                <w:sz w:val="24"/>
              </w:rPr>
              <w:t>醋酸储罐区</w:t>
            </w:r>
          </w:p>
        </w:tc>
        <w:tc>
          <w:tcPr>
            <w:tcW w:w="2976" w:type="dxa"/>
          </w:tcPr>
          <w:p>
            <w:pPr>
              <w:pStyle w:val="TableParagraph"/>
              <w:ind w:left="28" w:right="18"/>
              <w:rPr>
                <w:sz w:val="24"/>
              </w:rPr>
            </w:pPr>
            <w:r>
              <w:rPr>
                <w:sz w:val="24"/>
              </w:rPr>
              <w:t>醋酸</w:t>
            </w:r>
          </w:p>
        </w:tc>
        <w:tc>
          <w:tcPr>
            <w:tcW w:w="1757" w:type="dxa"/>
          </w:tcPr>
          <w:p>
            <w:pPr>
              <w:pStyle w:val="TableParagraph"/>
              <w:ind w:left="108" w:right="98"/>
              <w:rPr>
                <w:sz w:val="24"/>
              </w:rPr>
            </w:pPr>
            <w:r>
              <w:rPr>
                <w:sz w:val="24"/>
              </w:rPr>
              <w:t>560</w:t>
            </w:r>
          </w:p>
        </w:tc>
      </w:tr>
      <w:tr>
        <w:trPr>
          <w:trHeight w:val="467" w:hRule="atLeast"/>
        </w:trPr>
        <w:tc>
          <w:tcPr>
            <w:tcW w:w="1526" w:type="dxa"/>
          </w:tcPr>
          <w:p>
            <w:pPr>
              <w:pStyle w:val="TableParagraph"/>
              <w:ind w:left="311"/>
              <w:jc w:val="left"/>
              <w:rPr>
                <w:sz w:val="24"/>
              </w:rPr>
            </w:pPr>
            <w:r>
              <w:rPr>
                <w:sz w:val="24"/>
              </w:rPr>
              <w:t>6 号目标</w:t>
            </w:r>
          </w:p>
        </w:tc>
        <w:tc>
          <w:tcPr>
            <w:tcW w:w="2268" w:type="dxa"/>
          </w:tcPr>
          <w:p>
            <w:pPr>
              <w:pStyle w:val="TableParagraph"/>
              <w:spacing w:before="76"/>
              <w:ind w:left="153" w:right="145"/>
              <w:rPr>
                <w:sz w:val="24"/>
              </w:rPr>
            </w:pPr>
            <w:r>
              <w:rPr>
                <w:sz w:val="24"/>
              </w:rPr>
              <w:t>氨水储罐区</w:t>
            </w:r>
          </w:p>
        </w:tc>
        <w:tc>
          <w:tcPr>
            <w:tcW w:w="2976" w:type="dxa"/>
          </w:tcPr>
          <w:p>
            <w:pPr>
              <w:pStyle w:val="TableParagraph"/>
              <w:ind w:left="28" w:right="18"/>
              <w:rPr>
                <w:sz w:val="24"/>
              </w:rPr>
            </w:pPr>
            <w:r>
              <w:rPr>
                <w:sz w:val="24"/>
              </w:rPr>
              <w:t>氨水</w:t>
            </w:r>
          </w:p>
        </w:tc>
        <w:tc>
          <w:tcPr>
            <w:tcW w:w="1757" w:type="dxa"/>
          </w:tcPr>
          <w:p>
            <w:pPr>
              <w:pStyle w:val="TableParagraph"/>
              <w:ind w:left="108" w:right="98"/>
              <w:rPr>
                <w:sz w:val="24"/>
              </w:rPr>
            </w:pPr>
            <w:r>
              <w:rPr>
                <w:sz w:val="24"/>
              </w:rPr>
              <w:t>25</w:t>
            </w:r>
          </w:p>
        </w:tc>
      </w:tr>
      <w:tr>
        <w:trPr>
          <w:trHeight w:val="933" w:hRule="atLeast"/>
        </w:trPr>
        <w:tc>
          <w:tcPr>
            <w:tcW w:w="1526" w:type="dxa"/>
          </w:tcPr>
          <w:p>
            <w:pPr>
              <w:pStyle w:val="TableParagraph"/>
              <w:spacing w:before="2"/>
              <w:jc w:val="left"/>
              <w:rPr>
                <w:b/>
                <w:sz w:val="18"/>
              </w:rPr>
            </w:pPr>
          </w:p>
          <w:p>
            <w:pPr>
              <w:pStyle w:val="TableParagraph"/>
              <w:ind w:left="311"/>
              <w:jc w:val="left"/>
              <w:rPr>
                <w:sz w:val="24"/>
              </w:rPr>
            </w:pPr>
            <w:r>
              <w:rPr>
                <w:sz w:val="24"/>
              </w:rPr>
              <w:t>7 号目标</w:t>
            </w:r>
          </w:p>
        </w:tc>
        <w:tc>
          <w:tcPr>
            <w:tcW w:w="2268" w:type="dxa"/>
          </w:tcPr>
          <w:p>
            <w:pPr>
              <w:pStyle w:val="TableParagraph"/>
              <w:spacing w:line="242" w:lineRule="auto" w:before="156"/>
              <w:ind w:left="653" w:right="95" w:hanging="545"/>
              <w:jc w:val="left"/>
              <w:rPr>
                <w:sz w:val="24"/>
              </w:rPr>
            </w:pPr>
            <w:r>
              <w:rPr>
                <w:spacing w:val="-16"/>
                <w:sz w:val="24"/>
              </w:rPr>
              <w:t>生产车间、机房物料</w:t>
            </w:r>
            <w:r>
              <w:rPr>
                <w:sz w:val="24"/>
              </w:rPr>
              <w:t>输送管线</w:t>
            </w:r>
          </w:p>
        </w:tc>
        <w:tc>
          <w:tcPr>
            <w:tcW w:w="2976" w:type="dxa"/>
          </w:tcPr>
          <w:p>
            <w:pPr>
              <w:pStyle w:val="TableParagraph"/>
              <w:ind w:left="28" w:right="18"/>
              <w:rPr>
                <w:sz w:val="24"/>
              </w:rPr>
            </w:pPr>
            <w:r>
              <w:rPr>
                <w:sz w:val="24"/>
              </w:rPr>
              <w:t>液氨、乙腈、乙二醇、丙二</w:t>
            </w:r>
          </w:p>
          <w:p>
            <w:pPr>
              <w:pStyle w:val="TableParagraph"/>
              <w:spacing w:before="158"/>
              <w:ind w:left="28" w:right="18"/>
              <w:rPr>
                <w:sz w:val="24"/>
              </w:rPr>
            </w:pPr>
            <w:r>
              <w:rPr>
                <w:sz w:val="24"/>
              </w:rPr>
              <w:t>醇、氨水、醋酸</w:t>
            </w:r>
          </w:p>
        </w:tc>
        <w:tc>
          <w:tcPr>
            <w:tcW w:w="1757" w:type="dxa"/>
          </w:tcPr>
          <w:p>
            <w:pPr>
              <w:pStyle w:val="TableParagraph"/>
              <w:spacing w:before="2"/>
              <w:jc w:val="left"/>
              <w:rPr>
                <w:b/>
                <w:sz w:val="18"/>
              </w:rPr>
            </w:pPr>
          </w:p>
          <w:p>
            <w:pPr>
              <w:pStyle w:val="TableParagraph"/>
              <w:ind w:left="10"/>
              <w:rPr>
                <w:sz w:val="24"/>
              </w:rPr>
            </w:pPr>
            <w:r>
              <w:rPr>
                <w:sz w:val="24"/>
              </w:rPr>
              <w:t>/</w:t>
            </w:r>
          </w:p>
        </w:tc>
      </w:tr>
      <w:tr>
        <w:trPr>
          <w:trHeight w:val="467" w:hRule="atLeast"/>
        </w:trPr>
        <w:tc>
          <w:tcPr>
            <w:tcW w:w="1526" w:type="dxa"/>
          </w:tcPr>
          <w:p>
            <w:pPr>
              <w:pStyle w:val="TableParagraph"/>
              <w:ind w:left="311"/>
              <w:jc w:val="left"/>
              <w:rPr>
                <w:sz w:val="24"/>
              </w:rPr>
            </w:pPr>
            <w:r>
              <w:rPr>
                <w:sz w:val="24"/>
              </w:rPr>
              <w:t>4 号目标</w:t>
            </w:r>
          </w:p>
        </w:tc>
        <w:tc>
          <w:tcPr>
            <w:tcW w:w="2268" w:type="dxa"/>
          </w:tcPr>
          <w:p>
            <w:pPr>
              <w:pStyle w:val="TableParagraph"/>
              <w:spacing w:before="76"/>
              <w:ind w:left="153" w:right="145"/>
              <w:rPr>
                <w:sz w:val="24"/>
              </w:rPr>
            </w:pPr>
            <w:r>
              <w:rPr>
                <w:sz w:val="24"/>
              </w:rPr>
              <w:t>污水处理站</w:t>
            </w:r>
          </w:p>
        </w:tc>
        <w:tc>
          <w:tcPr>
            <w:tcW w:w="2976" w:type="dxa"/>
          </w:tcPr>
          <w:p>
            <w:pPr>
              <w:pStyle w:val="TableParagraph"/>
              <w:ind w:left="28" w:right="18"/>
              <w:rPr>
                <w:sz w:val="24"/>
              </w:rPr>
            </w:pPr>
            <w:r>
              <w:rPr>
                <w:sz w:val="24"/>
              </w:rPr>
              <w:t>生产废水</w:t>
            </w:r>
          </w:p>
        </w:tc>
        <w:tc>
          <w:tcPr>
            <w:tcW w:w="1757" w:type="dxa"/>
          </w:tcPr>
          <w:p>
            <w:pPr>
              <w:pStyle w:val="TableParagraph"/>
              <w:ind w:left="10"/>
              <w:rPr>
                <w:sz w:val="24"/>
              </w:rPr>
            </w:pPr>
            <w:r>
              <w:rPr>
                <w:sz w:val="24"/>
              </w:rPr>
              <w:t>/</w:t>
            </w:r>
          </w:p>
        </w:tc>
      </w:tr>
      <w:tr>
        <w:trPr>
          <w:trHeight w:val="467" w:hRule="atLeast"/>
        </w:trPr>
        <w:tc>
          <w:tcPr>
            <w:tcW w:w="1526" w:type="dxa"/>
          </w:tcPr>
          <w:p>
            <w:pPr>
              <w:pStyle w:val="TableParagraph"/>
              <w:ind w:left="311"/>
              <w:jc w:val="left"/>
              <w:rPr>
                <w:sz w:val="24"/>
              </w:rPr>
            </w:pPr>
            <w:r>
              <w:rPr>
                <w:sz w:val="24"/>
              </w:rPr>
              <w:t>5 号目标</w:t>
            </w:r>
          </w:p>
        </w:tc>
        <w:tc>
          <w:tcPr>
            <w:tcW w:w="2268" w:type="dxa"/>
          </w:tcPr>
          <w:p>
            <w:pPr>
              <w:pStyle w:val="TableParagraph"/>
              <w:spacing w:before="76"/>
              <w:ind w:left="153" w:right="145"/>
              <w:rPr>
                <w:sz w:val="24"/>
              </w:rPr>
            </w:pPr>
            <w:r>
              <w:rPr>
                <w:sz w:val="24"/>
              </w:rPr>
              <w:t>工艺废气处理装置</w:t>
            </w:r>
          </w:p>
        </w:tc>
        <w:tc>
          <w:tcPr>
            <w:tcW w:w="2976" w:type="dxa"/>
          </w:tcPr>
          <w:p>
            <w:pPr>
              <w:pStyle w:val="TableParagraph"/>
              <w:spacing w:before="76"/>
              <w:ind w:left="28" w:right="18"/>
              <w:rPr>
                <w:sz w:val="24"/>
              </w:rPr>
            </w:pPr>
            <w:r>
              <w:rPr>
                <w:sz w:val="24"/>
              </w:rPr>
              <w:t>乙腈、氨水、丙酮、甲醇</w:t>
            </w:r>
          </w:p>
        </w:tc>
        <w:tc>
          <w:tcPr>
            <w:tcW w:w="1757" w:type="dxa"/>
          </w:tcPr>
          <w:p>
            <w:pPr>
              <w:pStyle w:val="TableParagraph"/>
              <w:ind w:left="10"/>
              <w:rPr>
                <w:sz w:val="24"/>
              </w:rPr>
            </w:pPr>
            <w:r>
              <w:rPr>
                <w:sz w:val="24"/>
              </w:rPr>
              <w:t>/</w:t>
            </w:r>
          </w:p>
        </w:tc>
      </w:tr>
    </w:tbl>
    <w:p>
      <w:pPr>
        <w:pStyle w:val="ListParagraph"/>
        <w:numPr>
          <w:ilvl w:val="1"/>
          <w:numId w:val="9"/>
        </w:numPr>
        <w:tabs>
          <w:tab w:pos="1237" w:val="left" w:leader="none"/>
        </w:tabs>
        <w:spacing w:line="240" w:lineRule="auto" w:before="0" w:after="0"/>
        <w:ind w:left="1236" w:right="0" w:hanging="496"/>
        <w:jc w:val="left"/>
        <w:rPr>
          <w:b/>
          <w:sz w:val="28"/>
        </w:rPr>
      </w:pPr>
      <w:bookmarkStart w:name="_TOC_250049" w:id="19"/>
      <w:bookmarkEnd w:id="19"/>
      <w:r>
        <w:rPr>
          <w:b/>
          <w:sz w:val="28"/>
        </w:rPr>
        <w:t>突发环境事件情景分析</w:t>
      </w:r>
    </w:p>
    <w:p>
      <w:pPr>
        <w:pStyle w:val="BodyText"/>
        <w:spacing w:before="186"/>
        <w:ind w:left="1024"/>
      </w:pPr>
      <w:r>
        <w:rPr/>
        <w:t>企业可能发生的突发环境事件见表 3-3-1</w:t>
      </w:r>
    </w:p>
    <w:p>
      <w:pPr>
        <w:tabs>
          <w:tab w:pos="1454" w:val="left" w:leader="none"/>
        </w:tabs>
        <w:spacing w:before="186" w:after="5"/>
        <w:ind w:left="0" w:right="0" w:firstLine="0"/>
        <w:jc w:val="center"/>
        <w:rPr>
          <w:b/>
          <w:sz w:val="28"/>
        </w:rPr>
      </w:pPr>
      <w:r>
        <w:rPr>
          <w:b/>
          <w:sz w:val="28"/>
        </w:rPr>
        <w:t>表</w:t>
      </w:r>
      <w:r>
        <w:rPr>
          <w:b/>
          <w:spacing w:val="-48"/>
          <w:sz w:val="28"/>
        </w:rPr>
        <w:t> </w:t>
      </w:r>
      <w:r>
        <w:rPr>
          <w:b/>
          <w:spacing w:val="8"/>
          <w:sz w:val="28"/>
        </w:rPr>
        <w:t>3-3-1</w:t>
        <w:tab/>
      </w:r>
      <w:r>
        <w:rPr>
          <w:b/>
          <w:spacing w:val="19"/>
          <w:sz w:val="28"/>
        </w:rPr>
        <w:t>突</w:t>
      </w:r>
      <w:r>
        <w:rPr>
          <w:b/>
          <w:spacing w:val="21"/>
          <w:sz w:val="28"/>
        </w:rPr>
        <w:t>发</w:t>
      </w:r>
      <w:r>
        <w:rPr>
          <w:b/>
          <w:spacing w:val="19"/>
          <w:sz w:val="28"/>
        </w:rPr>
        <w:t>环</w:t>
      </w:r>
      <w:r>
        <w:rPr>
          <w:b/>
          <w:spacing w:val="21"/>
          <w:sz w:val="28"/>
        </w:rPr>
        <w:t>境</w:t>
      </w:r>
      <w:r>
        <w:rPr>
          <w:b/>
          <w:spacing w:val="19"/>
          <w:sz w:val="28"/>
        </w:rPr>
        <w:t>事</w:t>
      </w:r>
      <w:r>
        <w:rPr>
          <w:b/>
          <w:spacing w:val="21"/>
          <w:sz w:val="28"/>
        </w:rPr>
        <w:t>件</w:t>
      </w:r>
      <w:r>
        <w:rPr>
          <w:b/>
          <w:spacing w:val="19"/>
          <w:sz w:val="28"/>
        </w:rPr>
        <w:t>汇</w:t>
      </w:r>
      <w:r>
        <w:rPr>
          <w:b/>
          <w:spacing w:val="21"/>
          <w:sz w:val="28"/>
        </w:rPr>
        <w:t>总</w:t>
      </w:r>
      <w:r>
        <w:rPr>
          <w:b/>
          <w:sz w:val="28"/>
        </w:rPr>
        <w:t>表</w:t>
      </w: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2225"/>
        <w:gridCol w:w="2038"/>
        <w:gridCol w:w="1236"/>
        <w:gridCol w:w="2832"/>
      </w:tblGrid>
      <w:tr>
        <w:trPr>
          <w:trHeight w:val="933" w:hRule="atLeast"/>
        </w:trPr>
        <w:tc>
          <w:tcPr>
            <w:tcW w:w="1258" w:type="dxa"/>
          </w:tcPr>
          <w:p>
            <w:pPr>
              <w:pStyle w:val="TableParagraph"/>
              <w:spacing w:before="2"/>
              <w:jc w:val="left"/>
              <w:rPr>
                <w:b/>
                <w:sz w:val="18"/>
              </w:rPr>
            </w:pPr>
          </w:p>
          <w:p>
            <w:pPr>
              <w:pStyle w:val="TableParagraph"/>
              <w:ind w:left="128" w:right="119"/>
              <w:rPr>
                <w:sz w:val="24"/>
              </w:rPr>
            </w:pPr>
            <w:r>
              <w:rPr>
                <w:sz w:val="24"/>
              </w:rPr>
              <w:t>系统</w:t>
            </w:r>
          </w:p>
        </w:tc>
        <w:tc>
          <w:tcPr>
            <w:tcW w:w="2225" w:type="dxa"/>
          </w:tcPr>
          <w:p>
            <w:pPr>
              <w:pStyle w:val="TableParagraph"/>
              <w:ind w:left="130" w:right="124"/>
              <w:rPr>
                <w:sz w:val="24"/>
              </w:rPr>
            </w:pPr>
            <w:r>
              <w:rPr>
                <w:sz w:val="24"/>
              </w:rPr>
              <w:t>可能发生的突发环</w:t>
            </w:r>
          </w:p>
          <w:p>
            <w:pPr>
              <w:pStyle w:val="TableParagraph"/>
              <w:spacing w:before="158"/>
              <w:ind w:left="130" w:right="124"/>
              <w:rPr>
                <w:sz w:val="24"/>
              </w:rPr>
            </w:pPr>
            <w:r>
              <w:rPr>
                <w:sz w:val="24"/>
              </w:rPr>
              <w:t>境事件点位</w:t>
            </w:r>
          </w:p>
        </w:tc>
        <w:tc>
          <w:tcPr>
            <w:tcW w:w="2038" w:type="dxa"/>
          </w:tcPr>
          <w:p>
            <w:pPr>
              <w:pStyle w:val="TableParagraph"/>
              <w:spacing w:before="2"/>
              <w:jc w:val="left"/>
              <w:rPr>
                <w:b/>
                <w:sz w:val="18"/>
              </w:rPr>
            </w:pPr>
          </w:p>
          <w:p>
            <w:pPr>
              <w:pStyle w:val="TableParagraph"/>
              <w:ind w:left="34" w:right="29"/>
              <w:rPr>
                <w:sz w:val="24"/>
              </w:rPr>
            </w:pPr>
            <w:r>
              <w:rPr>
                <w:sz w:val="24"/>
              </w:rPr>
              <w:t>风险源</w:t>
            </w:r>
          </w:p>
        </w:tc>
        <w:tc>
          <w:tcPr>
            <w:tcW w:w="1236" w:type="dxa"/>
          </w:tcPr>
          <w:p>
            <w:pPr>
              <w:pStyle w:val="TableParagraph"/>
              <w:spacing w:before="2"/>
              <w:jc w:val="left"/>
              <w:rPr>
                <w:b/>
                <w:sz w:val="18"/>
              </w:rPr>
            </w:pPr>
          </w:p>
          <w:p>
            <w:pPr>
              <w:pStyle w:val="TableParagraph"/>
              <w:ind w:left="135"/>
              <w:jc w:val="left"/>
              <w:rPr>
                <w:sz w:val="24"/>
              </w:rPr>
            </w:pPr>
            <w:r>
              <w:rPr>
                <w:sz w:val="24"/>
              </w:rPr>
              <w:t>风险类型</w:t>
            </w:r>
          </w:p>
        </w:tc>
        <w:tc>
          <w:tcPr>
            <w:tcW w:w="2832" w:type="dxa"/>
          </w:tcPr>
          <w:p>
            <w:pPr>
              <w:pStyle w:val="TableParagraph"/>
              <w:spacing w:before="2"/>
              <w:jc w:val="left"/>
              <w:rPr>
                <w:b/>
                <w:sz w:val="18"/>
              </w:rPr>
            </w:pPr>
          </w:p>
          <w:p>
            <w:pPr>
              <w:pStyle w:val="TableParagraph"/>
              <w:ind w:left="215"/>
              <w:jc w:val="left"/>
              <w:rPr>
                <w:sz w:val="24"/>
              </w:rPr>
            </w:pPr>
            <w:r>
              <w:rPr>
                <w:sz w:val="24"/>
              </w:rPr>
              <w:t>对周围环境、人的影响</w:t>
            </w:r>
          </w:p>
        </w:tc>
      </w:tr>
      <w:tr>
        <w:trPr>
          <w:trHeight w:val="933" w:hRule="atLeast"/>
        </w:trPr>
        <w:tc>
          <w:tcPr>
            <w:tcW w:w="1258" w:type="dxa"/>
          </w:tcPr>
          <w:p>
            <w:pPr>
              <w:pStyle w:val="TableParagraph"/>
              <w:spacing w:before="2"/>
              <w:jc w:val="left"/>
              <w:rPr>
                <w:b/>
                <w:sz w:val="18"/>
              </w:rPr>
            </w:pPr>
          </w:p>
          <w:p>
            <w:pPr>
              <w:pStyle w:val="TableParagraph"/>
              <w:ind w:left="128" w:right="119"/>
              <w:rPr>
                <w:sz w:val="24"/>
              </w:rPr>
            </w:pPr>
            <w:r>
              <w:rPr>
                <w:sz w:val="24"/>
              </w:rPr>
              <w:t>生产装置</w:t>
            </w:r>
          </w:p>
        </w:tc>
        <w:tc>
          <w:tcPr>
            <w:tcW w:w="2225" w:type="dxa"/>
          </w:tcPr>
          <w:p>
            <w:pPr>
              <w:pStyle w:val="TableParagraph"/>
              <w:ind w:left="130" w:right="124"/>
              <w:rPr>
                <w:sz w:val="24"/>
              </w:rPr>
            </w:pPr>
            <w:r>
              <w:rPr>
                <w:sz w:val="24"/>
              </w:rPr>
              <w:t>精馏塔、酯化釜、</w:t>
            </w:r>
          </w:p>
          <w:p>
            <w:pPr>
              <w:pStyle w:val="TableParagraph"/>
              <w:spacing w:before="160"/>
              <w:ind w:left="130" w:right="124"/>
              <w:rPr>
                <w:sz w:val="24"/>
              </w:rPr>
            </w:pPr>
            <w:r>
              <w:rPr>
                <w:sz w:val="24"/>
              </w:rPr>
              <w:t>精馏釜</w:t>
            </w:r>
          </w:p>
        </w:tc>
        <w:tc>
          <w:tcPr>
            <w:tcW w:w="2038" w:type="dxa"/>
          </w:tcPr>
          <w:p>
            <w:pPr>
              <w:pStyle w:val="TableParagraph"/>
              <w:ind w:left="38" w:right="28"/>
              <w:rPr>
                <w:sz w:val="24"/>
              </w:rPr>
            </w:pPr>
            <w:r>
              <w:rPr>
                <w:sz w:val="24"/>
              </w:rPr>
              <w:t>乙腈、乙二醇、丙</w:t>
            </w:r>
          </w:p>
          <w:p>
            <w:pPr>
              <w:pStyle w:val="TableParagraph"/>
              <w:spacing w:before="160"/>
              <w:ind w:left="34" w:right="29"/>
              <w:rPr>
                <w:sz w:val="24"/>
              </w:rPr>
            </w:pPr>
            <w:r>
              <w:rPr>
                <w:sz w:val="24"/>
              </w:rPr>
              <w:t>二醇、氨气</w:t>
            </w:r>
          </w:p>
        </w:tc>
        <w:tc>
          <w:tcPr>
            <w:tcW w:w="1236" w:type="dxa"/>
          </w:tcPr>
          <w:p>
            <w:pPr>
              <w:pStyle w:val="TableParagraph"/>
              <w:ind w:left="115" w:right="110"/>
              <w:rPr>
                <w:sz w:val="24"/>
              </w:rPr>
            </w:pPr>
            <w:r>
              <w:rPr>
                <w:sz w:val="24"/>
              </w:rPr>
              <w:t>泄漏、爆</w:t>
            </w:r>
          </w:p>
          <w:p>
            <w:pPr>
              <w:pStyle w:val="TableParagraph"/>
              <w:spacing w:before="160"/>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60"/>
              <w:ind w:left="75" w:right="67"/>
              <w:rPr>
                <w:sz w:val="24"/>
              </w:rPr>
            </w:pPr>
            <w:r>
              <w:rPr>
                <w:sz w:val="24"/>
              </w:rPr>
              <w:t>体、使人中毒或伤亡</w:t>
            </w:r>
          </w:p>
        </w:tc>
      </w:tr>
      <w:tr>
        <w:trPr>
          <w:trHeight w:val="933" w:hRule="atLeast"/>
        </w:trPr>
        <w:tc>
          <w:tcPr>
            <w:tcW w:w="1258" w:type="dxa"/>
            <w:vMerge w:val="restart"/>
          </w:tcPr>
          <w:p>
            <w:pPr>
              <w:pStyle w:val="TableParagraph"/>
              <w:spacing w:before="10"/>
              <w:jc w:val="left"/>
              <w:rPr>
                <w:b/>
                <w:sz w:val="17"/>
              </w:rPr>
            </w:pPr>
          </w:p>
          <w:p>
            <w:pPr>
              <w:pStyle w:val="TableParagraph"/>
              <w:ind w:left="148"/>
              <w:jc w:val="left"/>
              <w:rPr>
                <w:sz w:val="24"/>
              </w:rPr>
            </w:pPr>
            <w:r>
              <w:rPr>
                <w:sz w:val="24"/>
              </w:rPr>
              <w:t>储存装置</w:t>
            </w:r>
          </w:p>
        </w:tc>
        <w:tc>
          <w:tcPr>
            <w:tcW w:w="2225" w:type="dxa"/>
          </w:tcPr>
          <w:p>
            <w:pPr>
              <w:pStyle w:val="TableParagraph"/>
              <w:spacing w:before="2"/>
              <w:jc w:val="left"/>
              <w:rPr>
                <w:b/>
                <w:sz w:val="24"/>
              </w:rPr>
            </w:pPr>
          </w:p>
          <w:p>
            <w:pPr>
              <w:pStyle w:val="TableParagraph"/>
              <w:ind w:right="502"/>
              <w:jc w:val="right"/>
              <w:rPr>
                <w:sz w:val="24"/>
              </w:rPr>
            </w:pPr>
            <w:r>
              <w:rPr>
                <w:sz w:val="24"/>
              </w:rPr>
              <w:t>醋酸储罐区</w:t>
            </w:r>
          </w:p>
        </w:tc>
        <w:tc>
          <w:tcPr>
            <w:tcW w:w="2038" w:type="dxa"/>
          </w:tcPr>
          <w:p>
            <w:pPr>
              <w:pStyle w:val="TableParagraph"/>
              <w:spacing w:before="2"/>
              <w:jc w:val="left"/>
              <w:rPr>
                <w:b/>
                <w:sz w:val="24"/>
              </w:rPr>
            </w:pPr>
          </w:p>
          <w:p>
            <w:pPr>
              <w:pStyle w:val="TableParagraph"/>
              <w:ind w:left="34" w:right="29"/>
              <w:rPr>
                <w:sz w:val="24"/>
              </w:rPr>
            </w:pPr>
            <w:r>
              <w:rPr>
                <w:sz w:val="24"/>
              </w:rPr>
              <w:t>醋酸</w:t>
            </w:r>
          </w:p>
        </w:tc>
        <w:tc>
          <w:tcPr>
            <w:tcW w:w="1236" w:type="dxa"/>
          </w:tcPr>
          <w:p>
            <w:pPr>
              <w:pStyle w:val="TableParagraph"/>
              <w:ind w:left="115" w:right="110"/>
              <w:rPr>
                <w:sz w:val="24"/>
              </w:rPr>
            </w:pPr>
            <w:r>
              <w:rPr>
                <w:sz w:val="24"/>
              </w:rPr>
              <w:t>泄漏、爆</w:t>
            </w:r>
          </w:p>
          <w:p>
            <w:pPr>
              <w:pStyle w:val="TableParagraph"/>
              <w:spacing w:before="160"/>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60"/>
              <w:ind w:left="75" w:right="67"/>
              <w:rPr>
                <w:sz w:val="24"/>
              </w:rPr>
            </w:pPr>
            <w:r>
              <w:rPr>
                <w:sz w:val="24"/>
              </w:rPr>
              <w:t>体、使人中毒或伤亡</w:t>
            </w:r>
          </w:p>
        </w:tc>
      </w:tr>
      <w:tr>
        <w:trPr>
          <w:trHeight w:val="935" w:hRule="atLeast"/>
        </w:trPr>
        <w:tc>
          <w:tcPr>
            <w:tcW w:w="1258" w:type="dxa"/>
            <w:vMerge/>
            <w:tcBorders>
              <w:top w:val="nil"/>
            </w:tcBorders>
          </w:tcPr>
          <w:p>
            <w:pPr>
              <w:rPr>
                <w:sz w:val="2"/>
                <w:szCs w:val="2"/>
              </w:rPr>
            </w:pPr>
          </w:p>
        </w:tc>
        <w:tc>
          <w:tcPr>
            <w:tcW w:w="2225" w:type="dxa"/>
          </w:tcPr>
          <w:p>
            <w:pPr>
              <w:pStyle w:val="TableParagraph"/>
              <w:spacing w:before="2"/>
              <w:jc w:val="left"/>
              <w:rPr>
                <w:b/>
                <w:sz w:val="24"/>
              </w:rPr>
            </w:pPr>
          </w:p>
          <w:p>
            <w:pPr>
              <w:pStyle w:val="TableParagraph"/>
              <w:ind w:right="502"/>
              <w:jc w:val="right"/>
              <w:rPr>
                <w:sz w:val="24"/>
              </w:rPr>
            </w:pPr>
            <w:r>
              <w:rPr>
                <w:sz w:val="24"/>
              </w:rPr>
              <w:t>液氨储罐区</w:t>
            </w:r>
          </w:p>
        </w:tc>
        <w:tc>
          <w:tcPr>
            <w:tcW w:w="2038" w:type="dxa"/>
          </w:tcPr>
          <w:p>
            <w:pPr>
              <w:pStyle w:val="TableParagraph"/>
              <w:spacing w:before="2"/>
              <w:jc w:val="left"/>
              <w:rPr>
                <w:b/>
                <w:sz w:val="24"/>
              </w:rPr>
            </w:pPr>
          </w:p>
          <w:p>
            <w:pPr>
              <w:pStyle w:val="TableParagraph"/>
              <w:ind w:left="34" w:right="29"/>
              <w:rPr>
                <w:sz w:val="24"/>
              </w:rPr>
            </w:pPr>
            <w:r>
              <w:rPr>
                <w:sz w:val="24"/>
              </w:rPr>
              <w:t>液氨</w:t>
            </w:r>
          </w:p>
        </w:tc>
        <w:tc>
          <w:tcPr>
            <w:tcW w:w="1236" w:type="dxa"/>
          </w:tcPr>
          <w:p>
            <w:pPr>
              <w:pStyle w:val="TableParagraph"/>
              <w:ind w:left="115" w:right="110"/>
              <w:rPr>
                <w:sz w:val="24"/>
              </w:rPr>
            </w:pPr>
            <w:r>
              <w:rPr>
                <w:sz w:val="24"/>
              </w:rPr>
              <w:t>泄漏、爆</w:t>
            </w:r>
          </w:p>
          <w:p>
            <w:pPr>
              <w:pStyle w:val="TableParagraph"/>
              <w:spacing w:before="160"/>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60"/>
              <w:ind w:left="75" w:right="67"/>
              <w:rPr>
                <w:sz w:val="24"/>
              </w:rPr>
            </w:pPr>
            <w:r>
              <w:rPr>
                <w:sz w:val="24"/>
              </w:rPr>
              <w:t>体、使人中毒或伤亡</w:t>
            </w:r>
          </w:p>
        </w:tc>
      </w:tr>
      <w:tr>
        <w:trPr>
          <w:trHeight w:val="933" w:hRule="atLeast"/>
        </w:trPr>
        <w:tc>
          <w:tcPr>
            <w:tcW w:w="1258" w:type="dxa"/>
            <w:vMerge/>
            <w:tcBorders>
              <w:top w:val="nil"/>
            </w:tcBorders>
          </w:tcPr>
          <w:p>
            <w:pPr>
              <w:rPr>
                <w:sz w:val="2"/>
                <w:szCs w:val="2"/>
              </w:rPr>
            </w:pPr>
          </w:p>
        </w:tc>
        <w:tc>
          <w:tcPr>
            <w:tcW w:w="2225" w:type="dxa"/>
          </w:tcPr>
          <w:p>
            <w:pPr>
              <w:pStyle w:val="TableParagraph"/>
              <w:spacing w:before="2"/>
              <w:jc w:val="left"/>
              <w:rPr>
                <w:b/>
                <w:sz w:val="24"/>
              </w:rPr>
            </w:pPr>
          </w:p>
          <w:p>
            <w:pPr>
              <w:pStyle w:val="TableParagraph"/>
              <w:ind w:right="502"/>
              <w:jc w:val="right"/>
              <w:rPr>
                <w:sz w:val="24"/>
              </w:rPr>
            </w:pPr>
            <w:r>
              <w:rPr>
                <w:sz w:val="24"/>
              </w:rPr>
              <w:t>乙腈储罐区</w:t>
            </w:r>
          </w:p>
        </w:tc>
        <w:tc>
          <w:tcPr>
            <w:tcW w:w="2038" w:type="dxa"/>
          </w:tcPr>
          <w:p>
            <w:pPr>
              <w:pStyle w:val="TableParagraph"/>
              <w:spacing w:before="2"/>
              <w:jc w:val="left"/>
              <w:rPr>
                <w:b/>
                <w:sz w:val="24"/>
              </w:rPr>
            </w:pPr>
          </w:p>
          <w:p>
            <w:pPr>
              <w:pStyle w:val="TableParagraph"/>
              <w:ind w:left="34" w:right="29"/>
              <w:rPr>
                <w:sz w:val="24"/>
              </w:rPr>
            </w:pPr>
            <w:r>
              <w:rPr>
                <w:sz w:val="24"/>
              </w:rPr>
              <w:t>乙腈</w:t>
            </w:r>
          </w:p>
        </w:tc>
        <w:tc>
          <w:tcPr>
            <w:tcW w:w="1236" w:type="dxa"/>
          </w:tcPr>
          <w:p>
            <w:pPr>
              <w:pStyle w:val="TableParagraph"/>
              <w:ind w:left="115" w:right="110"/>
              <w:rPr>
                <w:sz w:val="24"/>
              </w:rPr>
            </w:pPr>
            <w:r>
              <w:rPr>
                <w:sz w:val="24"/>
              </w:rPr>
              <w:t>泄漏、爆</w:t>
            </w:r>
          </w:p>
          <w:p>
            <w:pPr>
              <w:pStyle w:val="TableParagraph"/>
              <w:spacing w:before="158"/>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58"/>
              <w:ind w:left="75" w:right="67"/>
              <w:rPr>
                <w:sz w:val="24"/>
              </w:rPr>
            </w:pPr>
            <w:r>
              <w:rPr>
                <w:sz w:val="24"/>
              </w:rPr>
              <w:t>体、使人中毒或伤亡</w:t>
            </w:r>
          </w:p>
        </w:tc>
      </w:tr>
    </w:tbl>
    <w:p>
      <w:pPr>
        <w:spacing w:after="0"/>
        <w:rPr>
          <w:sz w:val="24"/>
        </w:rPr>
        <w:sectPr>
          <w:footerReference w:type="default" r:id="rId42"/>
          <w:pgSz w:w="11910" w:h="16840"/>
          <w:pgMar w:footer="984" w:header="0" w:top="1580" w:bottom="1180" w:left="960" w:right="980"/>
          <w:pgNumType w:start="27"/>
        </w:sectPr>
      </w:pPr>
    </w:p>
    <w:p>
      <w:pPr>
        <w:pStyle w:val="BodyText"/>
        <w:spacing w:before="1"/>
        <w:rPr>
          <w:b/>
          <w:sz w:val="8"/>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2225"/>
        <w:gridCol w:w="2038"/>
        <w:gridCol w:w="1236"/>
        <w:gridCol w:w="2832"/>
      </w:tblGrid>
      <w:tr>
        <w:trPr>
          <w:trHeight w:val="933" w:hRule="atLeast"/>
        </w:trPr>
        <w:tc>
          <w:tcPr>
            <w:tcW w:w="1258" w:type="dxa"/>
            <w:vMerge w:val="restart"/>
          </w:tcPr>
          <w:p>
            <w:pPr>
              <w:pStyle w:val="TableParagraph"/>
              <w:jc w:val="left"/>
              <w:rPr>
                <w:rFonts w:ascii="Times New Roman"/>
                <w:sz w:val="24"/>
              </w:rPr>
            </w:pPr>
          </w:p>
        </w:tc>
        <w:tc>
          <w:tcPr>
            <w:tcW w:w="2225" w:type="dxa"/>
          </w:tcPr>
          <w:p>
            <w:pPr>
              <w:pStyle w:val="TableParagraph"/>
              <w:spacing w:before="2"/>
              <w:jc w:val="left"/>
              <w:rPr>
                <w:b/>
                <w:sz w:val="24"/>
              </w:rPr>
            </w:pPr>
          </w:p>
          <w:p>
            <w:pPr>
              <w:pStyle w:val="TableParagraph"/>
              <w:ind w:left="130" w:right="124"/>
              <w:rPr>
                <w:sz w:val="24"/>
              </w:rPr>
            </w:pPr>
            <w:r>
              <w:rPr>
                <w:sz w:val="24"/>
              </w:rPr>
              <w:t>废乙腈储罐区</w:t>
            </w:r>
          </w:p>
        </w:tc>
        <w:tc>
          <w:tcPr>
            <w:tcW w:w="2038" w:type="dxa"/>
          </w:tcPr>
          <w:p>
            <w:pPr>
              <w:pStyle w:val="TableParagraph"/>
              <w:spacing w:before="2"/>
              <w:jc w:val="left"/>
              <w:rPr>
                <w:b/>
                <w:sz w:val="24"/>
              </w:rPr>
            </w:pPr>
          </w:p>
          <w:p>
            <w:pPr>
              <w:pStyle w:val="TableParagraph"/>
              <w:ind w:left="34" w:right="29"/>
              <w:rPr>
                <w:sz w:val="24"/>
              </w:rPr>
            </w:pPr>
            <w:r>
              <w:rPr>
                <w:sz w:val="24"/>
              </w:rPr>
              <w:t>废乙腈</w:t>
            </w:r>
          </w:p>
        </w:tc>
        <w:tc>
          <w:tcPr>
            <w:tcW w:w="1236" w:type="dxa"/>
          </w:tcPr>
          <w:p>
            <w:pPr>
              <w:pStyle w:val="TableParagraph"/>
              <w:ind w:left="115" w:right="110"/>
              <w:rPr>
                <w:sz w:val="24"/>
              </w:rPr>
            </w:pPr>
            <w:r>
              <w:rPr>
                <w:sz w:val="24"/>
              </w:rPr>
              <w:t>泄漏、爆</w:t>
            </w:r>
          </w:p>
          <w:p>
            <w:pPr>
              <w:pStyle w:val="TableParagraph"/>
              <w:spacing w:before="158"/>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58"/>
              <w:ind w:left="75" w:right="67"/>
              <w:rPr>
                <w:sz w:val="24"/>
              </w:rPr>
            </w:pPr>
            <w:r>
              <w:rPr>
                <w:sz w:val="24"/>
              </w:rPr>
              <w:t>体、使人中毒或伤亡</w:t>
            </w:r>
          </w:p>
        </w:tc>
      </w:tr>
      <w:tr>
        <w:trPr>
          <w:trHeight w:val="933" w:hRule="atLeast"/>
        </w:trPr>
        <w:tc>
          <w:tcPr>
            <w:tcW w:w="1258" w:type="dxa"/>
            <w:vMerge/>
            <w:tcBorders>
              <w:top w:val="nil"/>
            </w:tcBorders>
          </w:tcPr>
          <w:p>
            <w:pPr>
              <w:rPr>
                <w:sz w:val="2"/>
                <w:szCs w:val="2"/>
              </w:rPr>
            </w:pPr>
          </w:p>
        </w:tc>
        <w:tc>
          <w:tcPr>
            <w:tcW w:w="2225" w:type="dxa"/>
          </w:tcPr>
          <w:p>
            <w:pPr>
              <w:pStyle w:val="TableParagraph"/>
              <w:spacing w:before="2"/>
              <w:jc w:val="left"/>
              <w:rPr>
                <w:b/>
                <w:sz w:val="24"/>
              </w:rPr>
            </w:pPr>
          </w:p>
          <w:p>
            <w:pPr>
              <w:pStyle w:val="TableParagraph"/>
              <w:ind w:left="130" w:right="124"/>
              <w:rPr>
                <w:sz w:val="24"/>
              </w:rPr>
            </w:pPr>
            <w:r>
              <w:rPr>
                <w:sz w:val="24"/>
              </w:rPr>
              <w:t>乙二醇储罐区</w:t>
            </w:r>
          </w:p>
        </w:tc>
        <w:tc>
          <w:tcPr>
            <w:tcW w:w="2038" w:type="dxa"/>
          </w:tcPr>
          <w:p>
            <w:pPr>
              <w:pStyle w:val="TableParagraph"/>
              <w:spacing w:before="2"/>
              <w:jc w:val="left"/>
              <w:rPr>
                <w:b/>
                <w:sz w:val="24"/>
              </w:rPr>
            </w:pPr>
          </w:p>
          <w:p>
            <w:pPr>
              <w:pStyle w:val="TableParagraph"/>
              <w:ind w:left="34" w:right="29"/>
              <w:rPr>
                <w:sz w:val="24"/>
              </w:rPr>
            </w:pPr>
            <w:r>
              <w:rPr>
                <w:sz w:val="24"/>
              </w:rPr>
              <w:t>乙二醇</w:t>
            </w:r>
          </w:p>
        </w:tc>
        <w:tc>
          <w:tcPr>
            <w:tcW w:w="1236" w:type="dxa"/>
          </w:tcPr>
          <w:p>
            <w:pPr>
              <w:pStyle w:val="TableParagraph"/>
              <w:ind w:left="115" w:right="110"/>
              <w:rPr>
                <w:sz w:val="24"/>
              </w:rPr>
            </w:pPr>
            <w:r>
              <w:rPr>
                <w:sz w:val="24"/>
              </w:rPr>
              <w:t>泄漏、爆</w:t>
            </w:r>
          </w:p>
          <w:p>
            <w:pPr>
              <w:pStyle w:val="TableParagraph"/>
              <w:spacing w:before="160"/>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60"/>
              <w:ind w:left="75" w:right="67"/>
              <w:rPr>
                <w:sz w:val="24"/>
              </w:rPr>
            </w:pPr>
            <w:r>
              <w:rPr>
                <w:sz w:val="24"/>
              </w:rPr>
              <w:t>体、使人中毒或伤亡</w:t>
            </w:r>
          </w:p>
        </w:tc>
      </w:tr>
      <w:tr>
        <w:trPr>
          <w:trHeight w:val="933" w:hRule="atLeast"/>
        </w:trPr>
        <w:tc>
          <w:tcPr>
            <w:tcW w:w="1258" w:type="dxa"/>
            <w:vMerge/>
            <w:tcBorders>
              <w:top w:val="nil"/>
            </w:tcBorders>
          </w:tcPr>
          <w:p>
            <w:pPr>
              <w:rPr>
                <w:sz w:val="2"/>
                <w:szCs w:val="2"/>
              </w:rPr>
            </w:pPr>
          </w:p>
        </w:tc>
        <w:tc>
          <w:tcPr>
            <w:tcW w:w="2225" w:type="dxa"/>
          </w:tcPr>
          <w:p>
            <w:pPr>
              <w:pStyle w:val="TableParagraph"/>
              <w:spacing w:before="2"/>
              <w:jc w:val="left"/>
              <w:rPr>
                <w:b/>
                <w:sz w:val="24"/>
              </w:rPr>
            </w:pPr>
          </w:p>
          <w:p>
            <w:pPr>
              <w:pStyle w:val="TableParagraph"/>
              <w:ind w:left="130" w:right="124"/>
              <w:rPr>
                <w:sz w:val="24"/>
              </w:rPr>
            </w:pPr>
            <w:r>
              <w:rPr>
                <w:sz w:val="24"/>
              </w:rPr>
              <w:t>丙二醇储罐区</w:t>
            </w:r>
          </w:p>
        </w:tc>
        <w:tc>
          <w:tcPr>
            <w:tcW w:w="2038" w:type="dxa"/>
          </w:tcPr>
          <w:p>
            <w:pPr>
              <w:pStyle w:val="TableParagraph"/>
              <w:spacing w:before="2"/>
              <w:jc w:val="left"/>
              <w:rPr>
                <w:b/>
                <w:sz w:val="24"/>
              </w:rPr>
            </w:pPr>
          </w:p>
          <w:p>
            <w:pPr>
              <w:pStyle w:val="TableParagraph"/>
              <w:ind w:left="34" w:right="29"/>
              <w:rPr>
                <w:sz w:val="24"/>
              </w:rPr>
            </w:pPr>
            <w:r>
              <w:rPr>
                <w:sz w:val="24"/>
              </w:rPr>
              <w:t>丙二醇</w:t>
            </w:r>
          </w:p>
        </w:tc>
        <w:tc>
          <w:tcPr>
            <w:tcW w:w="1236" w:type="dxa"/>
          </w:tcPr>
          <w:p>
            <w:pPr>
              <w:pStyle w:val="TableParagraph"/>
              <w:ind w:left="115" w:right="110"/>
              <w:rPr>
                <w:sz w:val="24"/>
              </w:rPr>
            </w:pPr>
            <w:r>
              <w:rPr>
                <w:sz w:val="24"/>
              </w:rPr>
              <w:t>泄漏、爆</w:t>
            </w:r>
          </w:p>
          <w:p>
            <w:pPr>
              <w:pStyle w:val="TableParagraph"/>
              <w:spacing w:before="160"/>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60"/>
              <w:ind w:left="75" w:right="67"/>
              <w:rPr>
                <w:sz w:val="24"/>
              </w:rPr>
            </w:pPr>
            <w:r>
              <w:rPr>
                <w:sz w:val="24"/>
              </w:rPr>
              <w:t>体、使人中毒或伤亡</w:t>
            </w:r>
          </w:p>
        </w:tc>
      </w:tr>
      <w:tr>
        <w:trPr>
          <w:trHeight w:val="935" w:hRule="atLeast"/>
        </w:trPr>
        <w:tc>
          <w:tcPr>
            <w:tcW w:w="1258" w:type="dxa"/>
            <w:vMerge/>
            <w:tcBorders>
              <w:top w:val="nil"/>
            </w:tcBorders>
          </w:tcPr>
          <w:p>
            <w:pPr>
              <w:rPr>
                <w:sz w:val="2"/>
                <w:szCs w:val="2"/>
              </w:rPr>
            </w:pPr>
          </w:p>
        </w:tc>
        <w:tc>
          <w:tcPr>
            <w:tcW w:w="2225" w:type="dxa"/>
          </w:tcPr>
          <w:p>
            <w:pPr>
              <w:pStyle w:val="TableParagraph"/>
              <w:spacing w:before="2"/>
              <w:jc w:val="left"/>
              <w:rPr>
                <w:b/>
                <w:sz w:val="24"/>
              </w:rPr>
            </w:pPr>
          </w:p>
          <w:p>
            <w:pPr>
              <w:pStyle w:val="TableParagraph"/>
              <w:ind w:left="130" w:right="124"/>
              <w:rPr>
                <w:sz w:val="24"/>
              </w:rPr>
            </w:pPr>
            <w:r>
              <w:rPr>
                <w:sz w:val="24"/>
              </w:rPr>
              <w:t>氨水储罐区</w:t>
            </w:r>
          </w:p>
        </w:tc>
        <w:tc>
          <w:tcPr>
            <w:tcW w:w="2038" w:type="dxa"/>
          </w:tcPr>
          <w:p>
            <w:pPr>
              <w:pStyle w:val="TableParagraph"/>
              <w:spacing w:before="2"/>
              <w:jc w:val="left"/>
              <w:rPr>
                <w:b/>
                <w:sz w:val="24"/>
              </w:rPr>
            </w:pPr>
          </w:p>
          <w:p>
            <w:pPr>
              <w:pStyle w:val="TableParagraph"/>
              <w:ind w:left="34" w:right="29"/>
              <w:rPr>
                <w:sz w:val="24"/>
              </w:rPr>
            </w:pPr>
            <w:r>
              <w:rPr>
                <w:sz w:val="24"/>
              </w:rPr>
              <w:t>氨水</w:t>
            </w:r>
          </w:p>
        </w:tc>
        <w:tc>
          <w:tcPr>
            <w:tcW w:w="1236" w:type="dxa"/>
          </w:tcPr>
          <w:p>
            <w:pPr>
              <w:pStyle w:val="TableParagraph"/>
              <w:spacing w:before="2"/>
              <w:jc w:val="left"/>
              <w:rPr>
                <w:b/>
                <w:sz w:val="18"/>
              </w:rPr>
            </w:pPr>
          </w:p>
          <w:p>
            <w:pPr>
              <w:pStyle w:val="TableParagraph"/>
              <w:ind w:left="115" w:right="110"/>
              <w:rPr>
                <w:sz w:val="24"/>
              </w:rPr>
            </w:pPr>
            <w:r>
              <w:rPr>
                <w:sz w:val="24"/>
              </w:rPr>
              <w:t>泄漏</w:t>
            </w:r>
          </w:p>
        </w:tc>
        <w:tc>
          <w:tcPr>
            <w:tcW w:w="2832" w:type="dxa"/>
          </w:tcPr>
          <w:p>
            <w:pPr>
              <w:pStyle w:val="TableParagraph"/>
              <w:ind w:left="75" w:right="67"/>
              <w:rPr>
                <w:sz w:val="24"/>
              </w:rPr>
            </w:pPr>
            <w:r>
              <w:rPr>
                <w:sz w:val="24"/>
              </w:rPr>
              <w:t>污染大气环境、污染水</w:t>
            </w:r>
          </w:p>
          <w:p>
            <w:pPr>
              <w:pStyle w:val="TableParagraph"/>
              <w:spacing w:before="160"/>
              <w:ind w:left="75" w:right="67"/>
              <w:rPr>
                <w:sz w:val="24"/>
              </w:rPr>
            </w:pPr>
            <w:r>
              <w:rPr>
                <w:sz w:val="24"/>
              </w:rPr>
              <w:t>体、使人中毒或伤亡</w:t>
            </w:r>
          </w:p>
        </w:tc>
      </w:tr>
      <w:tr>
        <w:trPr>
          <w:trHeight w:val="933" w:hRule="atLeast"/>
        </w:trPr>
        <w:tc>
          <w:tcPr>
            <w:tcW w:w="1258" w:type="dxa"/>
            <w:vMerge/>
            <w:tcBorders>
              <w:top w:val="nil"/>
            </w:tcBorders>
          </w:tcPr>
          <w:p>
            <w:pPr>
              <w:rPr>
                <w:sz w:val="2"/>
                <w:szCs w:val="2"/>
              </w:rPr>
            </w:pPr>
          </w:p>
        </w:tc>
        <w:tc>
          <w:tcPr>
            <w:tcW w:w="2225" w:type="dxa"/>
          </w:tcPr>
          <w:p>
            <w:pPr>
              <w:pStyle w:val="TableParagraph"/>
              <w:spacing w:line="242" w:lineRule="auto" w:before="156"/>
              <w:ind w:left="990" w:right="142" w:hanging="840"/>
              <w:jc w:val="left"/>
              <w:rPr>
                <w:sz w:val="24"/>
              </w:rPr>
            </w:pPr>
            <w:r>
              <w:rPr>
                <w:sz w:val="24"/>
              </w:rPr>
              <w:t>多元醇混合酯储罐区</w:t>
            </w:r>
          </w:p>
        </w:tc>
        <w:tc>
          <w:tcPr>
            <w:tcW w:w="2038" w:type="dxa"/>
          </w:tcPr>
          <w:p>
            <w:pPr>
              <w:pStyle w:val="TableParagraph"/>
              <w:spacing w:before="2"/>
              <w:jc w:val="left"/>
              <w:rPr>
                <w:b/>
                <w:sz w:val="24"/>
              </w:rPr>
            </w:pPr>
          </w:p>
          <w:p>
            <w:pPr>
              <w:pStyle w:val="TableParagraph"/>
              <w:ind w:left="34" w:right="29"/>
              <w:rPr>
                <w:sz w:val="24"/>
              </w:rPr>
            </w:pPr>
            <w:r>
              <w:rPr>
                <w:sz w:val="24"/>
              </w:rPr>
              <w:t>多元醇混合酯</w:t>
            </w:r>
          </w:p>
        </w:tc>
        <w:tc>
          <w:tcPr>
            <w:tcW w:w="1236" w:type="dxa"/>
          </w:tcPr>
          <w:p>
            <w:pPr>
              <w:pStyle w:val="TableParagraph"/>
              <w:ind w:left="115" w:right="110"/>
              <w:rPr>
                <w:sz w:val="24"/>
              </w:rPr>
            </w:pPr>
            <w:r>
              <w:rPr>
                <w:sz w:val="24"/>
              </w:rPr>
              <w:t>泄漏、爆</w:t>
            </w:r>
          </w:p>
          <w:p>
            <w:pPr>
              <w:pStyle w:val="TableParagraph"/>
              <w:spacing w:before="158"/>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58"/>
              <w:ind w:left="75" w:right="67"/>
              <w:rPr>
                <w:sz w:val="24"/>
              </w:rPr>
            </w:pPr>
            <w:r>
              <w:rPr>
                <w:sz w:val="24"/>
              </w:rPr>
              <w:t>体、使人中毒或伤亡</w:t>
            </w:r>
          </w:p>
        </w:tc>
      </w:tr>
      <w:tr>
        <w:trPr>
          <w:trHeight w:val="933" w:hRule="atLeast"/>
        </w:trPr>
        <w:tc>
          <w:tcPr>
            <w:tcW w:w="1258" w:type="dxa"/>
            <w:vMerge/>
            <w:tcBorders>
              <w:top w:val="nil"/>
            </w:tcBorders>
          </w:tcPr>
          <w:p>
            <w:pPr>
              <w:rPr>
                <w:sz w:val="2"/>
                <w:szCs w:val="2"/>
              </w:rPr>
            </w:pPr>
          </w:p>
        </w:tc>
        <w:tc>
          <w:tcPr>
            <w:tcW w:w="2225" w:type="dxa"/>
          </w:tcPr>
          <w:p>
            <w:pPr>
              <w:pStyle w:val="TableParagraph"/>
              <w:spacing w:before="2"/>
              <w:jc w:val="left"/>
              <w:rPr>
                <w:b/>
                <w:sz w:val="18"/>
              </w:rPr>
            </w:pPr>
          </w:p>
          <w:p>
            <w:pPr>
              <w:pStyle w:val="TableParagraph"/>
              <w:ind w:left="130" w:right="124"/>
              <w:rPr>
                <w:sz w:val="24"/>
              </w:rPr>
            </w:pPr>
            <w:r>
              <w:rPr>
                <w:sz w:val="24"/>
              </w:rPr>
              <w:t>原料仓库、成品库</w:t>
            </w:r>
          </w:p>
        </w:tc>
        <w:tc>
          <w:tcPr>
            <w:tcW w:w="2038" w:type="dxa"/>
          </w:tcPr>
          <w:p>
            <w:pPr>
              <w:pStyle w:val="TableParagraph"/>
              <w:spacing w:before="2"/>
              <w:jc w:val="left"/>
              <w:rPr>
                <w:b/>
                <w:sz w:val="24"/>
              </w:rPr>
            </w:pPr>
          </w:p>
          <w:p>
            <w:pPr>
              <w:pStyle w:val="TableParagraph"/>
              <w:ind w:left="37" w:right="29"/>
              <w:rPr>
                <w:sz w:val="24"/>
              </w:rPr>
            </w:pPr>
            <w:r>
              <w:rPr>
                <w:sz w:val="24"/>
              </w:rPr>
              <w:t>氢氧化钠、醋酸钠</w:t>
            </w:r>
          </w:p>
        </w:tc>
        <w:tc>
          <w:tcPr>
            <w:tcW w:w="1236" w:type="dxa"/>
          </w:tcPr>
          <w:p>
            <w:pPr>
              <w:pStyle w:val="TableParagraph"/>
              <w:ind w:left="115" w:right="110"/>
              <w:rPr>
                <w:sz w:val="24"/>
              </w:rPr>
            </w:pPr>
            <w:r>
              <w:rPr>
                <w:sz w:val="24"/>
              </w:rPr>
              <w:t>火灾、爆</w:t>
            </w:r>
          </w:p>
          <w:p>
            <w:pPr>
              <w:pStyle w:val="TableParagraph"/>
              <w:spacing w:before="158"/>
              <w:ind w:left="5"/>
              <w:rPr>
                <w:sz w:val="24"/>
              </w:rPr>
            </w:pPr>
            <w:r>
              <w:rPr>
                <w:sz w:val="24"/>
              </w:rPr>
              <w:t>炸</w:t>
            </w:r>
          </w:p>
        </w:tc>
        <w:tc>
          <w:tcPr>
            <w:tcW w:w="2832" w:type="dxa"/>
          </w:tcPr>
          <w:p>
            <w:pPr>
              <w:pStyle w:val="TableParagraph"/>
              <w:ind w:left="75" w:right="67"/>
              <w:rPr>
                <w:sz w:val="24"/>
              </w:rPr>
            </w:pPr>
            <w:r>
              <w:rPr>
                <w:sz w:val="24"/>
              </w:rPr>
              <w:t>污染大气环境、污染水</w:t>
            </w:r>
          </w:p>
          <w:p>
            <w:pPr>
              <w:pStyle w:val="TableParagraph"/>
              <w:spacing w:before="158"/>
              <w:ind w:left="75" w:right="67"/>
              <w:rPr>
                <w:sz w:val="24"/>
              </w:rPr>
            </w:pPr>
            <w:r>
              <w:rPr>
                <w:sz w:val="24"/>
              </w:rPr>
              <w:t>体、使人中毒或伤亡</w:t>
            </w:r>
          </w:p>
        </w:tc>
      </w:tr>
      <w:tr>
        <w:trPr>
          <w:trHeight w:val="933" w:hRule="atLeast"/>
        </w:trPr>
        <w:tc>
          <w:tcPr>
            <w:tcW w:w="1258" w:type="dxa"/>
            <w:vMerge w:val="restart"/>
          </w:tcPr>
          <w:p>
            <w:pPr>
              <w:pStyle w:val="TableParagraph"/>
              <w:jc w:val="left"/>
              <w:rPr>
                <w:b/>
                <w:sz w:val="24"/>
              </w:rPr>
            </w:pPr>
          </w:p>
          <w:p>
            <w:pPr>
              <w:pStyle w:val="TableParagraph"/>
              <w:spacing w:before="158"/>
              <w:ind w:left="148"/>
              <w:jc w:val="left"/>
              <w:rPr>
                <w:sz w:val="24"/>
              </w:rPr>
            </w:pPr>
            <w:r>
              <w:rPr>
                <w:sz w:val="24"/>
              </w:rPr>
              <w:t>环保设施</w:t>
            </w:r>
          </w:p>
        </w:tc>
        <w:tc>
          <w:tcPr>
            <w:tcW w:w="2225" w:type="dxa"/>
          </w:tcPr>
          <w:p>
            <w:pPr>
              <w:pStyle w:val="TableParagraph"/>
              <w:spacing w:before="2"/>
              <w:jc w:val="left"/>
              <w:rPr>
                <w:b/>
                <w:sz w:val="18"/>
              </w:rPr>
            </w:pPr>
          </w:p>
          <w:p>
            <w:pPr>
              <w:pStyle w:val="TableParagraph"/>
              <w:ind w:left="130" w:right="124"/>
              <w:rPr>
                <w:sz w:val="24"/>
              </w:rPr>
            </w:pPr>
            <w:r>
              <w:rPr>
                <w:sz w:val="24"/>
              </w:rPr>
              <w:t>废气治理设施</w:t>
            </w:r>
          </w:p>
        </w:tc>
        <w:tc>
          <w:tcPr>
            <w:tcW w:w="2038" w:type="dxa"/>
          </w:tcPr>
          <w:p>
            <w:pPr>
              <w:pStyle w:val="TableParagraph"/>
              <w:ind w:left="107" w:right="-29"/>
              <w:jc w:val="left"/>
              <w:rPr>
                <w:sz w:val="24"/>
              </w:rPr>
            </w:pPr>
            <w:r>
              <w:rPr>
                <w:spacing w:val="-27"/>
                <w:sz w:val="24"/>
              </w:rPr>
              <w:t>乙腈、氨水、丙酮、</w:t>
            </w:r>
          </w:p>
          <w:p>
            <w:pPr>
              <w:pStyle w:val="TableParagraph"/>
              <w:spacing w:before="160"/>
              <w:ind w:left="34" w:right="29"/>
              <w:rPr>
                <w:sz w:val="24"/>
              </w:rPr>
            </w:pPr>
            <w:r>
              <w:rPr>
                <w:sz w:val="24"/>
              </w:rPr>
              <w:t>甲醇</w:t>
            </w:r>
          </w:p>
        </w:tc>
        <w:tc>
          <w:tcPr>
            <w:tcW w:w="1236" w:type="dxa"/>
          </w:tcPr>
          <w:p>
            <w:pPr>
              <w:pStyle w:val="TableParagraph"/>
              <w:spacing w:before="2"/>
              <w:jc w:val="left"/>
              <w:rPr>
                <w:b/>
                <w:sz w:val="18"/>
              </w:rPr>
            </w:pPr>
          </w:p>
          <w:p>
            <w:pPr>
              <w:pStyle w:val="TableParagraph"/>
              <w:ind w:left="115" w:right="110"/>
              <w:rPr>
                <w:sz w:val="24"/>
              </w:rPr>
            </w:pPr>
            <w:r>
              <w:rPr>
                <w:sz w:val="24"/>
              </w:rPr>
              <w:t>设备故障</w:t>
            </w:r>
          </w:p>
        </w:tc>
        <w:tc>
          <w:tcPr>
            <w:tcW w:w="2832" w:type="dxa"/>
          </w:tcPr>
          <w:p>
            <w:pPr>
              <w:pStyle w:val="TableParagraph"/>
              <w:ind w:left="75" w:right="67"/>
              <w:rPr>
                <w:sz w:val="24"/>
              </w:rPr>
            </w:pPr>
            <w:r>
              <w:rPr>
                <w:sz w:val="24"/>
              </w:rPr>
              <w:t>污染大气环境、危害人体</w:t>
            </w:r>
          </w:p>
          <w:p>
            <w:pPr>
              <w:pStyle w:val="TableParagraph"/>
              <w:spacing w:before="160"/>
              <w:ind w:left="75" w:right="67"/>
              <w:rPr>
                <w:sz w:val="24"/>
              </w:rPr>
            </w:pPr>
            <w:r>
              <w:rPr>
                <w:sz w:val="24"/>
              </w:rPr>
              <w:t>健康</w:t>
            </w:r>
          </w:p>
        </w:tc>
      </w:tr>
      <w:tr>
        <w:trPr>
          <w:trHeight w:val="467" w:hRule="atLeast"/>
        </w:trPr>
        <w:tc>
          <w:tcPr>
            <w:tcW w:w="1258" w:type="dxa"/>
            <w:vMerge/>
            <w:tcBorders>
              <w:top w:val="nil"/>
            </w:tcBorders>
          </w:tcPr>
          <w:p>
            <w:pPr>
              <w:rPr>
                <w:sz w:val="2"/>
                <w:szCs w:val="2"/>
              </w:rPr>
            </w:pPr>
          </w:p>
        </w:tc>
        <w:tc>
          <w:tcPr>
            <w:tcW w:w="2225" w:type="dxa"/>
          </w:tcPr>
          <w:p>
            <w:pPr>
              <w:pStyle w:val="TableParagraph"/>
              <w:ind w:left="130" w:right="124"/>
              <w:rPr>
                <w:sz w:val="24"/>
              </w:rPr>
            </w:pPr>
            <w:r>
              <w:rPr>
                <w:sz w:val="24"/>
              </w:rPr>
              <w:t>污水处理设施</w:t>
            </w:r>
          </w:p>
        </w:tc>
        <w:tc>
          <w:tcPr>
            <w:tcW w:w="2038" w:type="dxa"/>
          </w:tcPr>
          <w:p>
            <w:pPr>
              <w:pStyle w:val="TableParagraph"/>
              <w:ind w:left="34" w:right="29"/>
              <w:rPr>
                <w:sz w:val="24"/>
              </w:rPr>
            </w:pPr>
            <w:r>
              <w:rPr>
                <w:sz w:val="24"/>
              </w:rPr>
              <w:t>生产污水</w:t>
            </w:r>
          </w:p>
        </w:tc>
        <w:tc>
          <w:tcPr>
            <w:tcW w:w="1236" w:type="dxa"/>
          </w:tcPr>
          <w:p>
            <w:pPr>
              <w:pStyle w:val="TableParagraph"/>
              <w:ind w:left="115" w:right="110"/>
              <w:rPr>
                <w:sz w:val="24"/>
              </w:rPr>
            </w:pPr>
            <w:r>
              <w:rPr>
                <w:sz w:val="24"/>
              </w:rPr>
              <w:t>泄漏</w:t>
            </w:r>
          </w:p>
        </w:tc>
        <w:tc>
          <w:tcPr>
            <w:tcW w:w="2832" w:type="dxa"/>
          </w:tcPr>
          <w:p>
            <w:pPr>
              <w:pStyle w:val="TableParagraph"/>
              <w:ind w:left="75" w:right="67"/>
              <w:rPr>
                <w:sz w:val="24"/>
              </w:rPr>
            </w:pPr>
            <w:r>
              <w:rPr>
                <w:sz w:val="24"/>
              </w:rPr>
              <w:t>污染水体</w:t>
            </w:r>
          </w:p>
        </w:tc>
      </w:tr>
      <w:tr>
        <w:trPr>
          <w:trHeight w:val="467" w:hRule="atLeast"/>
        </w:trPr>
        <w:tc>
          <w:tcPr>
            <w:tcW w:w="1258" w:type="dxa"/>
            <w:vMerge w:val="restart"/>
          </w:tcPr>
          <w:p>
            <w:pPr>
              <w:pStyle w:val="TableParagraph"/>
              <w:spacing w:before="2"/>
              <w:jc w:val="left"/>
              <w:rPr>
                <w:b/>
                <w:sz w:val="18"/>
              </w:rPr>
            </w:pPr>
          </w:p>
          <w:p>
            <w:pPr>
              <w:pStyle w:val="TableParagraph"/>
              <w:spacing w:line="364" w:lineRule="auto"/>
              <w:ind w:left="388" w:right="137" w:hanging="240"/>
              <w:jc w:val="left"/>
              <w:rPr>
                <w:sz w:val="24"/>
              </w:rPr>
            </w:pPr>
            <w:r>
              <w:rPr>
                <w:sz w:val="24"/>
              </w:rPr>
              <w:t>次生环境风险</w:t>
            </w:r>
          </w:p>
        </w:tc>
        <w:tc>
          <w:tcPr>
            <w:tcW w:w="2225" w:type="dxa"/>
          </w:tcPr>
          <w:p>
            <w:pPr>
              <w:pStyle w:val="TableParagraph"/>
              <w:ind w:left="130" w:right="124"/>
              <w:rPr>
                <w:sz w:val="24"/>
              </w:rPr>
            </w:pPr>
            <w:r>
              <w:rPr>
                <w:sz w:val="24"/>
              </w:rPr>
              <w:t>火灾消防水</w:t>
            </w:r>
          </w:p>
        </w:tc>
        <w:tc>
          <w:tcPr>
            <w:tcW w:w="2038" w:type="dxa"/>
          </w:tcPr>
          <w:p>
            <w:pPr>
              <w:pStyle w:val="TableParagraph"/>
              <w:jc w:val="left"/>
              <w:rPr>
                <w:rFonts w:ascii="Times New Roman"/>
                <w:sz w:val="24"/>
              </w:rPr>
            </w:pPr>
          </w:p>
        </w:tc>
        <w:tc>
          <w:tcPr>
            <w:tcW w:w="1236" w:type="dxa"/>
          </w:tcPr>
          <w:p>
            <w:pPr>
              <w:pStyle w:val="TableParagraph"/>
              <w:jc w:val="left"/>
              <w:rPr>
                <w:rFonts w:ascii="Times New Roman"/>
                <w:sz w:val="24"/>
              </w:rPr>
            </w:pPr>
          </w:p>
        </w:tc>
        <w:tc>
          <w:tcPr>
            <w:tcW w:w="2832" w:type="dxa"/>
          </w:tcPr>
          <w:p>
            <w:pPr>
              <w:pStyle w:val="TableParagraph"/>
              <w:ind w:left="75" w:right="67"/>
              <w:rPr>
                <w:sz w:val="24"/>
              </w:rPr>
            </w:pPr>
            <w:r>
              <w:rPr>
                <w:sz w:val="24"/>
              </w:rPr>
              <w:t>外排污染水体环境</w:t>
            </w:r>
          </w:p>
        </w:tc>
      </w:tr>
      <w:tr>
        <w:trPr>
          <w:trHeight w:val="933" w:hRule="atLeast"/>
        </w:trPr>
        <w:tc>
          <w:tcPr>
            <w:tcW w:w="1258" w:type="dxa"/>
            <w:vMerge/>
            <w:tcBorders>
              <w:top w:val="nil"/>
            </w:tcBorders>
          </w:tcPr>
          <w:p>
            <w:pPr>
              <w:rPr>
                <w:sz w:val="2"/>
                <w:szCs w:val="2"/>
              </w:rPr>
            </w:pPr>
          </w:p>
        </w:tc>
        <w:tc>
          <w:tcPr>
            <w:tcW w:w="2225" w:type="dxa"/>
          </w:tcPr>
          <w:p>
            <w:pPr>
              <w:pStyle w:val="TableParagraph"/>
              <w:ind w:left="130" w:right="124"/>
              <w:rPr>
                <w:sz w:val="24"/>
              </w:rPr>
            </w:pPr>
            <w:r>
              <w:rPr>
                <w:sz w:val="24"/>
              </w:rPr>
              <w:t>燃烧产生有毒有害</w:t>
            </w:r>
          </w:p>
          <w:p>
            <w:pPr>
              <w:pStyle w:val="TableParagraph"/>
              <w:spacing w:before="158"/>
              <w:ind w:left="130" w:right="124"/>
              <w:rPr>
                <w:sz w:val="24"/>
              </w:rPr>
            </w:pPr>
            <w:r>
              <w:rPr>
                <w:sz w:val="24"/>
              </w:rPr>
              <w:t>气体</w:t>
            </w:r>
          </w:p>
        </w:tc>
        <w:tc>
          <w:tcPr>
            <w:tcW w:w="2038" w:type="dxa"/>
          </w:tcPr>
          <w:p>
            <w:pPr>
              <w:pStyle w:val="TableParagraph"/>
              <w:jc w:val="left"/>
              <w:rPr>
                <w:rFonts w:ascii="Times New Roman"/>
                <w:sz w:val="24"/>
              </w:rPr>
            </w:pPr>
          </w:p>
        </w:tc>
        <w:tc>
          <w:tcPr>
            <w:tcW w:w="1236" w:type="dxa"/>
          </w:tcPr>
          <w:p>
            <w:pPr>
              <w:pStyle w:val="TableParagraph"/>
              <w:jc w:val="left"/>
              <w:rPr>
                <w:rFonts w:ascii="Times New Roman"/>
                <w:sz w:val="24"/>
              </w:rPr>
            </w:pPr>
          </w:p>
        </w:tc>
        <w:tc>
          <w:tcPr>
            <w:tcW w:w="2832" w:type="dxa"/>
          </w:tcPr>
          <w:p>
            <w:pPr>
              <w:pStyle w:val="TableParagraph"/>
              <w:spacing w:before="2"/>
              <w:jc w:val="left"/>
              <w:rPr>
                <w:b/>
                <w:sz w:val="18"/>
              </w:rPr>
            </w:pPr>
          </w:p>
          <w:p>
            <w:pPr>
              <w:pStyle w:val="TableParagraph"/>
              <w:ind w:left="75" w:right="67"/>
              <w:rPr>
                <w:sz w:val="24"/>
              </w:rPr>
            </w:pPr>
            <w:r>
              <w:rPr>
                <w:sz w:val="24"/>
              </w:rPr>
              <w:t>污染空气，使人中毒</w:t>
            </w:r>
          </w:p>
        </w:tc>
      </w:tr>
    </w:tbl>
    <w:p>
      <w:pPr>
        <w:pStyle w:val="ListParagraph"/>
        <w:numPr>
          <w:ilvl w:val="1"/>
          <w:numId w:val="9"/>
        </w:numPr>
        <w:tabs>
          <w:tab w:pos="1237" w:val="left" w:leader="none"/>
        </w:tabs>
        <w:spacing w:line="357" w:lineRule="exact" w:before="0" w:after="0"/>
        <w:ind w:left="1236" w:right="0" w:hanging="496"/>
        <w:jc w:val="left"/>
        <w:rPr>
          <w:b/>
          <w:sz w:val="28"/>
        </w:rPr>
      </w:pPr>
      <w:bookmarkStart w:name="_TOC_250048" w:id="20"/>
      <w:bookmarkEnd w:id="20"/>
      <w:r>
        <w:rPr>
          <w:b/>
          <w:sz w:val="28"/>
        </w:rPr>
        <w:t>突发环境事件情景源强分析</w:t>
      </w:r>
    </w:p>
    <w:p>
      <w:pPr>
        <w:pStyle w:val="BodyText"/>
        <w:spacing w:line="364" w:lineRule="auto" w:before="186"/>
        <w:ind w:left="741" w:right="716" w:firstLine="559"/>
      </w:pPr>
      <w:r>
        <w:rPr/>
        <w:t>本项目选取其中危害较大的突发环境事件进行源强分析，详见表3-4-1。</w:t>
      </w:r>
    </w:p>
    <w:p>
      <w:pPr>
        <w:tabs>
          <w:tab w:pos="4255" w:val="left" w:leader="none"/>
        </w:tabs>
        <w:spacing w:line="358" w:lineRule="exact" w:before="0"/>
        <w:ind w:left="2916" w:right="0" w:firstLine="0"/>
        <w:jc w:val="left"/>
        <w:rPr>
          <w:b/>
          <w:sz w:val="28"/>
        </w:rPr>
      </w:pPr>
      <w:r>
        <w:rPr>
          <w:b/>
          <w:sz w:val="28"/>
        </w:rPr>
        <w:t>表</w:t>
      </w:r>
      <w:r>
        <w:rPr>
          <w:b/>
          <w:spacing w:val="-71"/>
          <w:sz w:val="28"/>
        </w:rPr>
        <w:t> </w:t>
      </w:r>
      <w:r>
        <w:rPr>
          <w:b/>
          <w:sz w:val="28"/>
        </w:rPr>
        <w:t>3-4-1</w:t>
        <w:tab/>
        <w:t>突发环境事件情景及源强表</w:t>
      </w:r>
    </w:p>
    <w:p>
      <w:pPr>
        <w:pStyle w:val="BodyText"/>
        <w:spacing w:before="8"/>
        <w:rPr>
          <w:b/>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3188"/>
        <w:gridCol w:w="1282"/>
        <w:gridCol w:w="2919"/>
        <w:gridCol w:w="1568"/>
      </w:tblGrid>
      <w:tr>
        <w:trPr>
          <w:trHeight w:val="933" w:hRule="atLeast"/>
        </w:trPr>
        <w:tc>
          <w:tcPr>
            <w:tcW w:w="754" w:type="dxa"/>
          </w:tcPr>
          <w:p>
            <w:pPr>
              <w:pStyle w:val="TableParagraph"/>
              <w:spacing w:before="2"/>
              <w:jc w:val="left"/>
              <w:rPr>
                <w:b/>
                <w:sz w:val="18"/>
              </w:rPr>
            </w:pPr>
          </w:p>
          <w:p>
            <w:pPr>
              <w:pStyle w:val="TableParagraph"/>
              <w:ind w:left="116" w:right="107"/>
              <w:rPr>
                <w:sz w:val="24"/>
              </w:rPr>
            </w:pPr>
            <w:r>
              <w:rPr>
                <w:sz w:val="24"/>
              </w:rPr>
              <w:t>序号</w:t>
            </w:r>
          </w:p>
        </w:tc>
        <w:tc>
          <w:tcPr>
            <w:tcW w:w="3188" w:type="dxa"/>
          </w:tcPr>
          <w:p>
            <w:pPr>
              <w:pStyle w:val="TableParagraph"/>
              <w:ind w:left="133" w:right="125"/>
              <w:rPr>
                <w:sz w:val="24"/>
              </w:rPr>
            </w:pPr>
            <w:r>
              <w:rPr>
                <w:sz w:val="24"/>
              </w:rPr>
              <w:t>最大可信事故风险源及事故</w:t>
            </w:r>
          </w:p>
          <w:p>
            <w:pPr>
              <w:pStyle w:val="TableParagraph"/>
              <w:spacing w:before="158"/>
              <w:ind w:left="133" w:right="125"/>
              <w:rPr>
                <w:sz w:val="24"/>
              </w:rPr>
            </w:pPr>
            <w:r>
              <w:rPr>
                <w:sz w:val="24"/>
              </w:rPr>
              <w:t>类型</w:t>
            </w:r>
          </w:p>
        </w:tc>
        <w:tc>
          <w:tcPr>
            <w:tcW w:w="1282" w:type="dxa"/>
          </w:tcPr>
          <w:p>
            <w:pPr>
              <w:pStyle w:val="TableParagraph"/>
              <w:spacing w:before="2"/>
              <w:jc w:val="left"/>
              <w:rPr>
                <w:b/>
                <w:sz w:val="18"/>
              </w:rPr>
            </w:pPr>
          </w:p>
          <w:p>
            <w:pPr>
              <w:pStyle w:val="TableParagraph"/>
              <w:ind w:left="139" w:right="133"/>
              <w:rPr>
                <w:sz w:val="24"/>
              </w:rPr>
            </w:pPr>
            <w:r>
              <w:rPr>
                <w:sz w:val="24"/>
              </w:rPr>
              <w:t>风险因子</w:t>
            </w:r>
          </w:p>
        </w:tc>
        <w:tc>
          <w:tcPr>
            <w:tcW w:w="2919" w:type="dxa"/>
          </w:tcPr>
          <w:p>
            <w:pPr>
              <w:pStyle w:val="TableParagraph"/>
              <w:spacing w:before="2"/>
              <w:jc w:val="left"/>
              <w:rPr>
                <w:b/>
                <w:sz w:val="18"/>
              </w:rPr>
            </w:pPr>
          </w:p>
          <w:p>
            <w:pPr>
              <w:pStyle w:val="TableParagraph"/>
              <w:ind w:left="737"/>
              <w:jc w:val="left"/>
              <w:rPr>
                <w:sz w:val="24"/>
              </w:rPr>
            </w:pPr>
            <w:r>
              <w:rPr>
                <w:sz w:val="24"/>
              </w:rPr>
              <w:t>最大事故源强</w:t>
            </w:r>
          </w:p>
        </w:tc>
        <w:tc>
          <w:tcPr>
            <w:tcW w:w="1568" w:type="dxa"/>
          </w:tcPr>
          <w:p>
            <w:pPr>
              <w:pStyle w:val="TableParagraph"/>
              <w:spacing w:before="2"/>
              <w:jc w:val="left"/>
              <w:rPr>
                <w:b/>
                <w:sz w:val="18"/>
              </w:rPr>
            </w:pPr>
          </w:p>
          <w:p>
            <w:pPr>
              <w:pStyle w:val="TableParagraph"/>
              <w:ind w:left="520" w:right="518"/>
              <w:rPr>
                <w:sz w:val="24"/>
              </w:rPr>
            </w:pPr>
            <w:r>
              <w:rPr>
                <w:sz w:val="24"/>
              </w:rPr>
              <w:t>备注</w:t>
            </w:r>
          </w:p>
        </w:tc>
      </w:tr>
      <w:tr>
        <w:trPr>
          <w:trHeight w:val="1012" w:hRule="atLeast"/>
        </w:trPr>
        <w:tc>
          <w:tcPr>
            <w:tcW w:w="754" w:type="dxa"/>
          </w:tcPr>
          <w:p>
            <w:pPr>
              <w:pStyle w:val="TableParagraph"/>
              <w:spacing w:before="2"/>
              <w:jc w:val="left"/>
              <w:rPr>
                <w:b/>
                <w:sz w:val="21"/>
              </w:rPr>
            </w:pPr>
          </w:p>
          <w:p>
            <w:pPr>
              <w:pStyle w:val="TableParagraph"/>
              <w:ind w:left="9"/>
              <w:rPr>
                <w:sz w:val="24"/>
              </w:rPr>
            </w:pPr>
            <w:r>
              <w:rPr>
                <w:sz w:val="24"/>
              </w:rPr>
              <w:t>1</w:t>
            </w:r>
          </w:p>
        </w:tc>
        <w:tc>
          <w:tcPr>
            <w:tcW w:w="3188" w:type="dxa"/>
          </w:tcPr>
          <w:p>
            <w:pPr>
              <w:pStyle w:val="TableParagraph"/>
              <w:spacing w:line="364" w:lineRule="auto" w:before="38"/>
              <w:ind w:left="272" w:right="144" w:hanging="120"/>
              <w:jc w:val="left"/>
              <w:rPr>
                <w:sz w:val="24"/>
              </w:rPr>
            </w:pPr>
            <w:r>
              <w:rPr>
                <w:sz w:val="24"/>
              </w:rPr>
              <w:t>液氨储罐发生泄露，易燃液态或蒸汽发生火灾、爆炸</w:t>
            </w:r>
          </w:p>
        </w:tc>
        <w:tc>
          <w:tcPr>
            <w:tcW w:w="1282" w:type="dxa"/>
          </w:tcPr>
          <w:p>
            <w:pPr>
              <w:pStyle w:val="TableParagraph"/>
              <w:spacing w:before="2"/>
              <w:jc w:val="left"/>
              <w:rPr>
                <w:b/>
                <w:sz w:val="21"/>
              </w:rPr>
            </w:pPr>
          </w:p>
          <w:p>
            <w:pPr>
              <w:pStyle w:val="TableParagraph"/>
              <w:ind w:left="6"/>
              <w:rPr>
                <w:sz w:val="24"/>
              </w:rPr>
            </w:pPr>
            <w:r>
              <w:rPr>
                <w:sz w:val="24"/>
              </w:rPr>
              <w:t>烟</w:t>
            </w:r>
          </w:p>
        </w:tc>
        <w:tc>
          <w:tcPr>
            <w:tcW w:w="2919" w:type="dxa"/>
          </w:tcPr>
          <w:p>
            <w:pPr>
              <w:pStyle w:val="TableParagraph"/>
              <w:spacing w:line="364" w:lineRule="auto" w:before="38"/>
              <w:ind w:left="106" w:right="-29" w:firstLine="120"/>
              <w:jc w:val="left"/>
              <w:rPr>
                <w:sz w:val="24"/>
              </w:rPr>
            </w:pPr>
            <w:r>
              <w:rPr>
                <w:spacing w:val="-6"/>
                <w:sz w:val="24"/>
              </w:rPr>
              <w:t>液氨储罐日常储量 </w:t>
            </w:r>
            <w:r>
              <w:rPr>
                <w:sz w:val="24"/>
              </w:rPr>
              <w:t>19.7 </w:t>
            </w:r>
            <w:r>
              <w:rPr>
                <w:spacing w:val="-12"/>
                <w:sz w:val="24"/>
              </w:rPr>
              <w:t>吨，最大泄露量为</w:t>
            </w:r>
            <w:r>
              <w:rPr>
                <w:sz w:val="24"/>
              </w:rPr>
              <w:t>19.7</w:t>
            </w:r>
            <w:r>
              <w:rPr>
                <w:spacing w:val="-34"/>
                <w:sz w:val="24"/>
              </w:rPr>
              <w:t> 吨。</w:t>
            </w:r>
          </w:p>
        </w:tc>
        <w:tc>
          <w:tcPr>
            <w:tcW w:w="1568" w:type="dxa"/>
          </w:tcPr>
          <w:p>
            <w:pPr>
              <w:pStyle w:val="TableParagraph"/>
              <w:jc w:val="left"/>
              <w:rPr>
                <w:rFonts w:ascii="Times New Roman"/>
                <w:sz w:val="24"/>
              </w:rPr>
            </w:pPr>
          </w:p>
        </w:tc>
      </w:tr>
      <w:tr>
        <w:trPr>
          <w:trHeight w:val="935" w:hRule="atLeast"/>
        </w:trPr>
        <w:tc>
          <w:tcPr>
            <w:tcW w:w="754" w:type="dxa"/>
          </w:tcPr>
          <w:p>
            <w:pPr>
              <w:pStyle w:val="TableParagraph"/>
              <w:spacing w:before="2"/>
              <w:jc w:val="left"/>
              <w:rPr>
                <w:b/>
                <w:sz w:val="18"/>
              </w:rPr>
            </w:pPr>
          </w:p>
          <w:p>
            <w:pPr>
              <w:pStyle w:val="TableParagraph"/>
              <w:ind w:left="9"/>
              <w:rPr>
                <w:sz w:val="24"/>
              </w:rPr>
            </w:pPr>
            <w:r>
              <w:rPr>
                <w:sz w:val="24"/>
              </w:rPr>
              <w:t>2</w:t>
            </w:r>
          </w:p>
        </w:tc>
        <w:tc>
          <w:tcPr>
            <w:tcW w:w="3188" w:type="dxa"/>
          </w:tcPr>
          <w:p>
            <w:pPr>
              <w:pStyle w:val="TableParagraph"/>
              <w:ind w:left="133" w:right="125"/>
              <w:rPr>
                <w:sz w:val="24"/>
              </w:rPr>
            </w:pPr>
            <w:r>
              <w:rPr>
                <w:sz w:val="24"/>
              </w:rPr>
              <w:t>乙腈储罐发生泄露，易燃液</w:t>
            </w:r>
          </w:p>
          <w:p>
            <w:pPr>
              <w:pStyle w:val="TableParagraph"/>
              <w:spacing w:before="160"/>
              <w:ind w:left="133" w:right="125"/>
              <w:rPr>
                <w:sz w:val="24"/>
              </w:rPr>
            </w:pPr>
            <w:r>
              <w:rPr>
                <w:sz w:val="24"/>
              </w:rPr>
              <w:t>态或蒸汽发生火灾、爆炸</w:t>
            </w:r>
          </w:p>
        </w:tc>
        <w:tc>
          <w:tcPr>
            <w:tcW w:w="1282" w:type="dxa"/>
          </w:tcPr>
          <w:p>
            <w:pPr>
              <w:pStyle w:val="TableParagraph"/>
              <w:spacing w:before="2"/>
              <w:jc w:val="left"/>
              <w:rPr>
                <w:b/>
                <w:sz w:val="18"/>
              </w:rPr>
            </w:pPr>
          </w:p>
          <w:p>
            <w:pPr>
              <w:pStyle w:val="TableParagraph"/>
              <w:ind w:left="139" w:right="133"/>
              <w:rPr>
                <w:sz w:val="24"/>
              </w:rPr>
            </w:pPr>
            <w:r>
              <w:rPr>
                <w:sz w:val="24"/>
              </w:rPr>
              <w:t>乙腈</w:t>
            </w:r>
          </w:p>
        </w:tc>
        <w:tc>
          <w:tcPr>
            <w:tcW w:w="2919" w:type="dxa"/>
          </w:tcPr>
          <w:p>
            <w:pPr>
              <w:pStyle w:val="TableParagraph"/>
              <w:ind w:left="87" w:right="24"/>
              <w:rPr>
                <w:sz w:val="24"/>
              </w:rPr>
            </w:pPr>
            <w:r>
              <w:rPr>
                <w:spacing w:val="-7"/>
                <w:sz w:val="24"/>
              </w:rPr>
              <w:t>乙腈储罐日常储量 </w:t>
            </w:r>
            <w:r>
              <w:rPr>
                <w:sz w:val="24"/>
              </w:rPr>
              <w:t>89</w:t>
            </w:r>
            <w:r>
              <w:rPr>
                <w:spacing w:val="-20"/>
                <w:sz w:val="24"/>
              </w:rPr>
              <w:t> 吨，</w:t>
            </w:r>
          </w:p>
          <w:p>
            <w:pPr>
              <w:pStyle w:val="TableParagraph"/>
              <w:spacing w:before="160"/>
              <w:ind w:left="30" w:right="24"/>
              <w:rPr>
                <w:sz w:val="24"/>
              </w:rPr>
            </w:pPr>
            <w:r>
              <w:rPr>
                <w:sz w:val="24"/>
              </w:rPr>
              <w:t>最大泄露量为 89 吨。</w:t>
            </w:r>
          </w:p>
        </w:tc>
        <w:tc>
          <w:tcPr>
            <w:tcW w:w="1568" w:type="dxa"/>
          </w:tcPr>
          <w:p>
            <w:pPr>
              <w:pStyle w:val="TableParagraph"/>
              <w:jc w:val="left"/>
              <w:rPr>
                <w:rFonts w:ascii="Times New Roman"/>
                <w:sz w:val="24"/>
              </w:rPr>
            </w:pPr>
          </w:p>
        </w:tc>
      </w:tr>
    </w:tbl>
    <w:p>
      <w:pPr>
        <w:spacing w:after="0"/>
        <w:jc w:val="left"/>
        <w:rPr>
          <w:rFonts w:ascii="Times New Roman"/>
          <w:sz w:val="24"/>
        </w:rPr>
        <w:sectPr>
          <w:pgSz w:w="11910" w:h="16840"/>
          <w:pgMar w:header="0" w:footer="984" w:top="1580" w:bottom="1180" w:left="960" w:right="980"/>
        </w:sectPr>
      </w:pPr>
    </w:p>
    <w:p>
      <w:pPr>
        <w:pStyle w:val="BodyText"/>
        <w:spacing w:before="1"/>
        <w:rPr>
          <w:b/>
          <w:sz w:val="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3188"/>
        <w:gridCol w:w="1282"/>
        <w:gridCol w:w="2919"/>
        <w:gridCol w:w="1568"/>
      </w:tblGrid>
      <w:tr>
        <w:trPr>
          <w:trHeight w:val="933" w:hRule="atLeast"/>
        </w:trPr>
        <w:tc>
          <w:tcPr>
            <w:tcW w:w="754" w:type="dxa"/>
          </w:tcPr>
          <w:p>
            <w:pPr>
              <w:pStyle w:val="TableParagraph"/>
              <w:spacing w:before="2"/>
              <w:jc w:val="left"/>
              <w:rPr>
                <w:b/>
                <w:sz w:val="18"/>
              </w:rPr>
            </w:pPr>
          </w:p>
          <w:p>
            <w:pPr>
              <w:pStyle w:val="TableParagraph"/>
              <w:ind w:left="9"/>
              <w:rPr>
                <w:sz w:val="24"/>
              </w:rPr>
            </w:pPr>
            <w:r>
              <w:rPr>
                <w:sz w:val="24"/>
              </w:rPr>
              <w:t>3</w:t>
            </w:r>
          </w:p>
        </w:tc>
        <w:tc>
          <w:tcPr>
            <w:tcW w:w="3188" w:type="dxa"/>
          </w:tcPr>
          <w:p>
            <w:pPr>
              <w:pStyle w:val="TableParagraph"/>
              <w:ind w:left="133" w:right="125"/>
              <w:rPr>
                <w:sz w:val="24"/>
              </w:rPr>
            </w:pPr>
            <w:r>
              <w:rPr>
                <w:sz w:val="24"/>
              </w:rPr>
              <w:t>醋酸储罐发生泄露，易燃液</w:t>
            </w:r>
          </w:p>
          <w:p>
            <w:pPr>
              <w:pStyle w:val="TableParagraph"/>
              <w:spacing w:before="158"/>
              <w:ind w:left="133" w:right="125"/>
              <w:rPr>
                <w:sz w:val="24"/>
              </w:rPr>
            </w:pPr>
            <w:r>
              <w:rPr>
                <w:sz w:val="24"/>
              </w:rPr>
              <w:t>态或蒸汽发生火灾、爆炸</w:t>
            </w:r>
          </w:p>
        </w:tc>
        <w:tc>
          <w:tcPr>
            <w:tcW w:w="1282" w:type="dxa"/>
          </w:tcPr>
          <w:p>
            <w:pPr>
              <w:pStyle w:val="TableParagraph"/>
              <w:spacing w:before="2"/>
              <w:jc w:val="left"/>
              <w:rPr>
                <w:b/>
                <w:sz w:val="18"/>
              </w:rPr>
            </w:pPr>
          </w:p>
          <w:p>
            <w:pPr>
              <w:pStyle w:val="TableParagraph"/>
              <w:ind w:left="399"/>
              <w:jc w:val="left"/>
              <w:rPr>
                <w:sz w:val="24"/>
              </w:rPr>
            </w:pPr>
            <w:r>
              <w:rPr>
                <w:sz w:val="24"/>
              </w:rPr>
              <w:t>醋酸</w:t>
            </w:r>
          </w:p>
        </w:tc>
        <w:tc>
          <w:tcPr>
            <w:tcW w:w="2919" w:type="dxa"/>
          </w:tcPr>
          <w:p>
            <w:pPr>
              <w:pStyle w:val="TableParagraph"/>
              <w:ind w:left="106" w:right="-29"/>
              <w:jc w:val="left"/>
              <w:rPr>
                <w:sz w:val="24"/>
              </w:rPr>
            </w:pPr>
            <w:r>
              <w:rPr>
                <w:spacing w:val="3"/>
                <w:sz w:val="24"/>
              </w:rPr>
              <w:t>醋酸储罐日常储量</w:t>
            </w:r>
            <w:r>
              <w:rPr>
                <w:sz w:val="24"/>
              </w:rPr>
              <w:t>200</w:t>
            </w:r>
            <w:r>
              <w:rPr>
                <w:spacing w:val="-34"/>
                <w:sz w:val="24"/>
              </w:rPr>
              <w:t> 吨，</w:t>
            </w:r>
          </w:p>
          <w:p>
            <w:pPr>
              <w:pStyle w:val="TableParagraph"/>
              <w:spacing w:before="158"/>
              <w:ind w:left="257"/>
              <w:jc w:val="left"/>
              <w:rPr>
                <w:sz w:val="24"/>
              </w:rPr>
            </w:pPr>
            <w:r>
              <w:rPr>
                <w:sz w:val="24"/>
              </w:rPr>
              <w:t>最大泄露量为 200 吨。</w:t>
            </w:r>
          </w:p>
        </w:tc>
        <w:tc>
          <w:tcPr>
            <w:tcW w:w="1568" w:type="dxa"/>
          </w:tcPr>
          <w:p>
            <w:pPr>
              <w:pStyle w:val="TableParagraph"/>
              <w:jc w:val="left"/>
              <w:rPr>
                <w:rFonts w:ascii="Times New Roman"/>
                <w:sz w:val="26"/>
              </w:rPr>
            </w:pPr>
          </w:p>
        </w:tc>
      </w:tr>
      <w:tr>
        <w:trPr>
          <w:trHeight w:val="1401" w:hRule="atLeast"/>
        </w:trPr>
        <w:tc>
          <w:tcPr>
            <w:tcW w:w="754" w:type="dxa"/>
          </w:tcPr>
          <w:p>
            <w:pPr>
              <w:pStyle w:val="TableParagraph"/>
              <w:jc w:val="left"/>
              <w:rPr>
                <w:b/>
                <w:sz w:val="24"/>
              </w:rPr>
            </w:pPr>
          </w:p>
          <w:p>
            <w:pPr>
              <w:pStyle w:val="TableParagraph"/>
              <w:spacing w:before="158"/>
              <w:ind w:left="9"/>
              <w:rPr>
                <w:sz w:val="24"/>
              </w:rPr>
            </w:pPr>
            <w:r>
              <w:rPr>
                <w:sz w:val="24"/>
              </w:rPr>
              <w:t>4</w:t>
            </w:r>
          </w:p>
        </w:tc>
        <w:tc>
          <w:tcPr>
            <w:tcW w:w="3188" w:type="dxa"/>
          </w:tcPr>
          <w:p>
            <w:pPr>
              <w:pStyle w:val="TableParagraph"/>
              <w:ind w:left="107" w:right="-29" w:firstLine="45"/>
              <w:jc w:val="left"/>
              <w:rPr>
                <w:sz w:val="24"/>
              </w:rPr>
            </w:pPr>
            <w:r>
              <w:rPr>
                <w:sz w:val="24"/>
              </w:rPr>
              <w:t>尾气吸收装置损坏，乙腈、</w:t>
            </w:r>
          </w:p>
          <w:p>
            <w:pPr>
              <w:pStyle w:val="TableParagraph"/>
              <w:spacing w:line="460" w:lineRule="atLeast" w:before="8"/>
              <w:ind w:left="1112" w:right="-29" w:hanging="1006"/>
              <w:jc w:val="left"/>
              <w:rPr>
                <w:sz w:val="24"/>
              </w:rPr>
            </w:pPr>
            <w:r>
              <w:rPr>
                <w:spacing w:val="-6"/>
                <w:sz w:val="24"/>
              </w:rPr>
              <w:t>氨气、甲醇、丙酮发生泄露， 致人中毒</w:t>
            </w:r>
          </w:p>
        </w:tc>
        <w:tc>
          <w:tcPr>
            <w:tcW w:w="1282" w:type="dxa"/>
          </w:tcPr>
          <w:p>
            <w:pPr>
              <w:pStyle w:val="TableParagraph"/>
              <w:ind w:left="106" w:right="-29" w:firstLine="52"/>
              <w:jc w:val="left"/>
              <w:rPr>
                <w:sz w:val="24"/>
              </w:rPr>
            </w:pPr>
            <w:r>
              <w:rPr>
                <w:sz w:val="24"/>
              </w:rPr>
              <w:t>乙腈、氨</w:t>
            </w:r>
          </w:p>
          <w:p>
            <w:pPr>
              <w:pStyle w:val="TableParagraph"/>
              <w:spacing w:line="460" w:lineRule="atLeast" w:before="8"/>
              <w:ind w:left="399" w:right="-29" w:hanging="293"/>
              <w:jc w:val="left"/>
              <w:rPr>
                <w:sz w:val="24"/>
              </w:rPr>
            </w:pPr>
            <w:r>
              <w:rPr>
                <w:spacing w:val="-6"/>
                <w:sz w:val="24"/>
              </w:rPr>
              <w:t>气、甲醇、</w:t>
            </w:r>
            <w:r>
              <w:rPr>
                <w:sz w:val="24"/>
              </w:rPr>
              <w:t>丙酮</w:t>
            </w:r>
          </w:p>
        </w:tc>
        <w:tc>
          <w:tcPr>
            <w:tcW w:w="2919" w:type="dxa"/>
          </w:tcPr>
          <w:p>
            <w:pPr>
              <w:pStyle w:val="TableParagraph"/>
              <w:jc w:val="left"/>
              <w:rPr>
                <w:b/>
                <w:sz w:val="24"/>
              </w:rPr>
            </w:pPr>
          </w:p>
          <w:p>
            <w:pPr>
              <w:pStyle w:val="TableParagraph"/>
              <w:spacing w:before="158"/>
              <w:ind w:left="30" w:right="24"/>
              <w:rPr>
                <w:sz w:val="24"/>
              </w:rPr>
            </w:pPr>
            <w:r>
              <w:rPr>
                <w:sz w:val="24"/>
              </w:rPr>
              <w:t>少量</w:t>
            </w:r>
          </w:p>
        </w:tc>
        <w:tc>
          <w:tcPr>
            <w:tcW w:w="1568" w:type="dxa"/>
          </w:tcPr>
          <w:p>
            <w:pPr>
              <w:pStyle w:val="TableParagraph"/>
              <w:jc w:val="left"/>
              <w:rPr>
                <w:rFonts w:ascii="Times New Roman"/>
                <w:sz w:val="26"/>
              </w:rPr>
            </w:pPr>
          </w:p>
        </w:tc>
      </w:tr>
    </w:tbl>
    <w:p>
      <w:pPr>
        <w:pStyle w:val="BodyText"/>
        <w:rPr>
          <w:b/>
          <w:sz w:val="20"/>
        </w:rPr>
      </w:pPr>
    </w:p>
    <w:p>
      <w:pPr>
        <w:pStyle w:val="BodyText"/>
        <w:spacing w:before="7"/>
        <w:rPr>
          <w:b/>
          <w:sz w:val="17"/>
        </w:rPr>
      </w:pPr>
    </w:p>
    <w:p>
      <w:pPr>
        <w:pStyle w:val="ListParagraph"/>
        <w:numPr>
          <w:ilvl w:val="1"/>
          <w:numId w:val="9"/>
        </w:numPr>
        <w:tabs>
          <w:tab w:pos="1237" w:val="left" w:leader="none"/>
        </w:tabs>
        <w:spacing w:line="240" w:lineRule="auto" w:before="62" w:after="0"/>
        <w:ind w:left="1236" w:right="0" w:hanging="496"/>
        <w:jc w:val="left"/>
        <w:rPr>
          <w:b/>
          <w:sz w:val="28"/>
        </w:rPr>
      </w:pPr>
      <w:bookmarkStart w:name="_TOC_250047" w:id="21"/>
      <w:bookmarkEnd w:id="21"/>
      <w:r>
        <w:rPr>
          <w:b/>
          <w:sz w:val="28"/>
        </w:rPr>
        <w:t>环境风险影响分析</w:t>
      </w:r>
    </w:p>
    <w:p>
      <w:pPr>
        <w:pStyle w:val="BodyText"/>
        <w:spacing w:line="364" w:lineRule="auto" w:before="186"/>
        <w:ind w:left="741" w:right="716" w:firstLine="559"/>
      </w:pPr>
      <w:r>
        <w:rPr/>
        <w:t>参考国内外同类企业发生的各类风险事故，本项目厂区主要可能发生的环境风险事故判定如下：</w:t>
      </w:r>
    </w:p>
    <w:p>
      <w:pPr>
        <w:pStyle w:val="BodyText"/>
        <w:spacing w:line="358" w:lineRule="exact"/>
        <w:ind w:left="1300"/>
      </w:pPr>
      <w:r>
        <w:rPr/>
        <w:t>1、物料泄漏事故；</w:t>
      </w:r>
    </w:p>
    <w:p>
      <w:pPr>
        <w:pStyle w:val="BodyText"/>
        <w:spacing w:before="186"/>
        <w:ind w:left="1300"/>
      </w:pPr>
      <w:r>
        <w:rPr>
          <w:spacing w:val="-1"/>
        </w:rPr>
        <w:t>2</w:t>
      </w:r>
      <w:r>
        <w:rPr>
          <w:spacing w:val="-3"/>
        </w:rPr>
        <w:t>、火灾、爆炸事故；</w:t>
      </w:r>
    </w:p>
    <w:p>
      <w:pPr>
        <w:pStyle w:val="BodyText"/>
        <w:spacing w:before="186"/>
        <w:ind w:left="1300"/>
      </w:pPr>
      <w:r>
        <w:rPr>
          <w:spacing w:val="-1"/>
        </w:rPr>
        <w:t>3</w:t>
      </w:r>
      <w:r>
        <w:rPr>
          <w:spacing w:val="-3"/>
        </w:rPr>
        <w:t>、消防水溢出厂外；</w:t>
      </w:r>
    </w:p>
    <w:p>
      <w:pPr>
        <w:pStyle w:val="BodyText"/>
        <w:spacing w:line="364" w:lineRule="auto" w:before="186"/>
        <w:ind w:left="741" w:right="663" w:firstLine="559"/>
      </w:pPr>
      <w:r>
        <w:rPr/>
        <w:t>4、废水处理设施故障，生产废水未经处理排至污水处理厂，对污水处理厂造成冲击负荷；</w:t>
      </w:r>
    </w:p>
    <w:p>
      <w:pPr>
        <w:pStyle w:val="BodyText"/>
        <w:spacing w:line="364" w:lineRule="auto"/>
        <w:ind w:left="741" w:right="716" w:firstLine="559"/>
      </w:pPr>
      <w:r>
        <w:rPr/>
        <w:t>5</w:t>
      </w:r>
      <w:r>
        <w:rPr>
          <w:spacing w:val="-7"/>
        </w:rPr>
        <w:t>、废气处理装置故障，乙腈、氨气、甲醇、丙酮等各类毒害气体</w:t>
      </w:r>
      <w:r>
        <w:rPr>
          <w:spacing w:val="-5"/>
        </w:rPr>
        <w:t>不达标排放；</w:t>
      </w:r>
    </w:p>
    <w:p>
      <w:pPr>
        <w:pStyle w:val="BodyText"/>
        <w:spacing w:line="364" w:lineRule="auto"/>
        <w:ind w:left="741" w:right="579" w:firstLine="559"/>
      </w:pPr>
      <w:r>
        <w:rPr/>
        <w:t>6</w:t>
      </w:r>
      <w:r>
        <w:rPr>
          <w:spacing w:val="-16"/>
        </w:rPr>
        <w:t>、各种自然灾害、极端天气或不利气象条件等都可能会造成废气、</w:t>
      </w:r>
      <w:r>
        <w:rPr>
          <w:spacing w:val="-4"/>
        </w:rPr>
        <w:t>废水未经处理直接超标排放，对附近的居民或环境空气、地表水等造成较大影响。</w:t>
      </w:r>
    </w:p>
    <w:p>
      <w:pPr>
        <w:pStyle w:val="BodyText"/>
        <w:spacing w:line="364" w:lineRule="auto"/>
        <w:ind w:left="741" w:right="716" w:firstLine="559"/>
        <w:jc w:val="both"/>
      </w:pPr>
      <w:r>
        <w:rPr/>
        <w:t>由于本项目使用的一定量的液氨、醋酸、乙腈、天然气等，其蒸汽与空气可形成爆炸性混合物，遇明火、高热能引起燃烧爆炸。在生产装置发生火灾时，火场温度很高，辐射热强烈，而且火灾蔓延速度较快，若抢救不及时，累及其他装置着火并迅速伴随容器爆炸，物品沸溢、喷溅、流散，极易造成大面积的火灾。</w:t>
      </w:r>
    </w:p>
    <w:p>
      <w:pPr>
        <w:pStyle w:val="BodyText"/>
        <w:spacing w:line="364" w:lineRule="auto"/>
        <w:ind w:left="741" w:right="716" w:firstLine="559"/>
      </w:pPr>
      <w:r>
        <w:rPr/>
        <w:t>火灾事故对环境的危害主要是热辐射造成的后果，此外火灾燃烧过程产生的烟雾及有毒有害气体造成周围环境的污染。火灾产生的消</w:t>
      </w:r>
    </w:p>
    <w:p>
      <w:pPr>
        <w:spacing w:after="0" w:line="364" w:lineRule="auto"/>
        <w:sectPr>
          <w:pgSz w:w="11910" w:h="16840"/>
          <w:pgMar w:header="0" w:footer="984" w:top="1580" w:bottom="1180" w:left="960" w:right="980"/>
        </w:sectPr>
      </w:pPr>
    </w:p>
    <w:p>
      <w:pPr>
        <w:pStyle w:val="BodyText"/>
        <w:spacing w:before="102"/>
        <w:ind w:left="741"/>
      </w:pPr>
      <w:r>
        <w:rPr/>
        <w:t>防废水，进入外环境，造成水体污染。</w:t>
      </w:r>
    </w:p>
    <w:p>
      <w:pPr>
        <w:pStyle w:val="ListParagraph"/>
        <w:numPr>
          <w:ilvl w:val="1"/>
          <w:numId w:val="9"/>
        </w:numPr>
        <w:tabs>
          <w:tab w:pos="1237" w:val="left" w:leader="none"/>
        </w:tabs>
        <w:spacing w:line="240" w:lineRule="auto" w:before="186" w:after="0"/>
        <w:ind w:left="1236" w:right="0" w:hanging="496"/>
        <w:jc w:val="left"/>
        <w:rPr>
          <w:b/>
          <w:sz w:val="28"/>
        </w:rPr>
      </w:pPr>
      <w:bookmarkStart w:name="_TOC_250046" w:id="22"/>
      <w:bookmarkEnd w:id="22"/>
      <w:r>
        <w:rPr>
          <w:b/>
          <w:sz w:val="28"/>
        </w:rPr>
        <w:t>风险评价结论</w:t>
      </w:r>
    </w:p>
    <w:p>
      <w:pPr>
        <w:pStyle w:val="BodyText"/>
        <w:spacing w:before="186"/>
        <w:ind w:left="1295"/>
      </w:pPr>
      <w:r>
        <w:rPr/>
        <w:t>本项目存在重大危险源， 环境风险评估为较大[ 较大- 大气</w:t>
      </w:r>
    </w:p>
    <w:p>
      <w:pPr>
        <w:pStyle w:val="BodyText"/>
        <w:spacing w:line="364" w:lineRule="auto" w:before="186"/>
        <w:ind w:left="741" w:right="680"/>
        <w:jc w:val="both"/>
      </w:pPr>
      <w:r>
        <w:rPr/>
        <w:t>（Q2-M2-E2）+一般-水（Q2-M1-E3）]。公司内物料发生泄漏、火灾、爆炸事故时主要影响范围为厂区内，通过及时的疏散厂内职工和消防灭火，可将危害降低到最低。</w:t>
      </w:r>
    </w:p>
    <w:p>
      <w:pPr>
        <w:pStyle w:val="BodyText"/>
        <w:spacing w:line="364" w:lineRule="auto"/>
        <w:ind w:left="741" w:right="576" w:firstLine="554"/>
      </w:pPr>
      <w:r>
        <w:rPr/>
        <w:t>如果发生液氨泄漏事故，当厂区内储罐发生泄漏时，泄漏事故的</w:t>
      </w:r>
      <w:r>
        <w:rPr>
          <w:spacing w:val="-1"/>
        </w:rPr>
        <w:t>伤害范围</w:t>
      </w:r>
      <w:r>
        <w:rPr/>
        <w:t>（</w:t>
      </w:r>
      <w:r>
        <w:rPr>
          <w:spacing w:val="-3"/>
        </w:rPr>
        <w:t>半致死浓度范围</w:t>
      </w:r>
      <w:r>
        <w:rPr/>
        <w:t>）</w:t>
      </w:r>
      <w:r>
        <w:rPr>
          <w:spacing w:val="-34"/>
        </w:rPr>
        <w:t>为 </w:t>
      </w:r>
      <w:r>
        <w:rPr/>
        <w:t>1100m</w:t>
      </w:r>
      <w:r>
        <w:rPr>
          <w:spacing w:val="-9"/>
        </w:rPr>
        <w:t>，确定应急撤离范围为 </w:t>
      </w:r>
      <w:r>
        <w:rPr/>
        <w:t>1100m。</w:t>
      </w:r>
      <w:r>
        <w:rPr>
          <w:spacing w:val="-3"/>
        </w:rPr>
        <w:t>半致死浓度范围内无村庄。液氨爆炸事故时，在近距离内</w:t>
      </w:r>
      <w:r>
        <w:rPr/>
        <w:t>（10.30</w:t>
      </w:r>
      <w:r>
        <w:rPr>
          <w:spacing w:val="-31"/>
        </w:rPr>
        <w:t> 米</w:t>
      </w:r>
      <w:r>
        <w:rPr/>
        <w:t>） </w:t>
      </w:r>
      <w:r>
        <w:rPr>
          <w:spacing w:val="-4"/>
        </w:rPr>
        <w:t>对建筑物和人员均会造成严重损害，最远可波及到 </w:t>
      </w:r>
      <w:r>
        <w:rPr/>
        <w:t>10.30</w:t>
      </w:r>
      <w:r>
        <w:rPr>
          <w:spacing w:val="-4"/>
        </w:rPr>
        <w:t> 米范围内， </w:t>
      </w:r>
      <w:r>
        <w:rPr>
          <w:spacing w:val="-8"/>
        </w:rPr>
        <w:t>根据调查，该区域不涉及周围敏感目标，但涉及企业及周边企业职工。</w:t>
      </w:r>
    </w:p>
    <w:p>
      <w:pPr>
        <w:pStyle w:val="BodyText"/>
        <w:spacing w:line="364" w:lineRule="auto"/>
        <w:ind w:left="741" w:right="713" w:firstLine="554"/>
        <w:jc w:val="both"/>
      </w:pPr>
      <w:r>
        <w:rPr/>
        <w:t>发生乙腈泄漏事故时，预测浓度超过半致死浓度和立即威胁生命</w:t>
      </w:r>
      <w:r>
        <w:rPr>
          <w:spacing w:val="-11"/>
        </w:rPr>
        <w:t>和健康浓度，其中乙腈泄漏的半致死范围为 </w:t>
      </w:r>
      <w:r>
        <w:rPr>
          <w:spacing w:val="-15"/>
        </w:rPr>
        <w:t>10m</w:t>
      </w:r>
      <w:r>
        <w:rPr>
          <w:spacing w:val="-5"/>
        </w:rPr>
        <w:t>，事故紧急撤离范围为</w:t>
      </w:r>
      <w:r>
        <w:rPr>
          <w:spacing w:val="-6"/>
        </w:rPr>
        <w:t>20m</w:t>
      </w:r>
      <w:r>
        <w:rPr>
          <w:spacing w:val="-5"/>
        </w:rPr>
        <w:t>；乙腈火灾爆炸事故时，氰化氢预测浓度超过半致死浓度和立即威胁生命和健康浓度，氰化氢的半致死范围为 </w:t>
      </w:r>
      <w:r>
        <w:rPr/>
        <w:t>600m</w:t>
      </w:r>
      <w:r>
        <w:rPr>
          <w:spacing w:val="-2"/>
        </w:rPr>
        <w:t>，事故紧急撤离范围</w:t>
      </w:r>
      <w:r>
        <w:rPr>
          <w:spacing w:val="-29"/>
        </w:rPr>
        <w:t>为 </w:t>
      </w:r>
      <w:r>
        <w:rPr/>
        <w:t>3000m</w:t>
      </w:r>
      <w:r>
        <w:rPr>
          <w:spacing w:val="-6"/>
        </w:rPr>
        <w:t>。根据调查，该区域涉及周围敏感目标 </w:t>
      </w:r>
      <w:r>
        <w:rPr/>
        <w:t>12</w:t>
      </w:r>
      <w:r>
        <w:rPr>
          <w:spacing w:val="-8"/>
        </w:rPr>
        <w:t> 个，同时涉及企业</w:t>
      </w:r>
      <w:r>
        <w:rPr>
          <w:spacing w:val="-5"/>
        </w:rPr>
        <w:t>及周边企业职工。</w:t>
      </w:r>
    </w:p>
    <w:p>
      <w:pPr>
        <w:pStyle w:val="Heading1"/>
        <w:numPr>
          <w:ilvl w:val="0"/>
          <w:numId w:val="9"/>
        </w:numPr>
        <w:tabs>
          <w:tab w:pos="984" w:val="left" w:leader="none"/>
        </w:tabs>
        <w:spacing w:line="240" w:lineRule="auto" w:before="0" w:after="0"/>
        <w:ind w:left="983" w:right="0" w:hanging="243"/>
        <w:jc w:val="both"/>
      </w:pPr>
      <w:bookmarkStart w:name="_TOC_250045" w:id="23"/>
      <w:bookmarkEnd w:id="23"/>
      <w:r>
        <w:rPr/>
        <w:t>应急组织机构及职责</w:t>
      </w:r>
    </w:p>
    <w:p>
      <w:pPr>
        <w:pStyle w:val="BodyText"/>
        <w:spacing w:line="364" w:lineRule="auto" w:before="202"/>
        <w:ind w:left="741" w:right="680" w:firstLine="559"/>
        <w:jc w:val="both"/>
      </w:pPr>
      <w:r>
        <w:rPr/>
        <w:t>从公司的现状出发，本着挖潜（即充分发挥各车间和部室部门的作用</w:t>
      </w:r>
      <w:r>
        <w:rPr>
          <w:spacing w:val="-142"/>
        </w:rPr>
        <w:t>）</w:t>
      </w:r>
      <w:r>
        <w:rPr>
          <w:spacing w:val="-1"/>
        </w:rPr>
        <w:t>、理顺</w:t>
      </w:r>
      <w:r>
        <w:rPr/>
        <w:t>（</w:t>
      </w:r>
      <w:r>
        <w:rPr>
          <w:spacing w:val="-4"/>
        </w:rPr>
        <w:t>即理顺各种抢险救灾力量之间的关系，达到密切配合、</w:t>
      </w:r>
      <w:r>
        <w:rPr>
          <w:spacing w:val="-1"/>
        </w:rPr>
        <w:t>协调一致</w:t>
      </w:r>
      <w:r>
        <w:rPr>
          <w:spacing w:val="-140"/>
        </w:rPr>
        <w:t>）</w:t>
      </w:r>
      <w:r>
        <w:rPr>
          <w:spacing w:val="-10"/>
        </w:rPr>
        <w:t>、统一</w:t>
      </w:r>
      <w:r>
        <w:rPr>
          <w:spacing w:val="-3"/>
        </w:rPr>
        <w:t>（</w:t>
      </w:r>
      <w:r>
        <w:rPr>
          <w:spacing w:val="-4"/>
        </w:rPr>
        <w:t>即在公司应急处理领导小组的统一指挥下，完成抢险救灾及减污任务</w:t>
      </w:r>
      <w:r>
        <w:rPr>
          <w:spacing w:val="-142"/>
        </w:rPr>
        <w:t>）</w:t>
      </w:r>
      <w:r>
        <w:rPr>
          <w:spacing w:val="-13"/>
        </w:rPr>
        <w:t>、完善</w:t>
      </w:r>
      <w:r>
        <w:rPr>
          <w:spacing w:val="-3"/>
        </w:rPr>
        <w:t>（即在原有基础上进一步充实完善公司的突</w:t>
      </w:r>
      <w:r>
        <w:rPr/>
        <w:t>发环境事故应急系统</w:t>
      </w:r>
      <w:r>
        <w:rPr>
          <w:spacing w:val="4"/>
        </w:rPr>
        <w:t>）</w:t>
      </w:r>
      <w:r>
        <w:rPr/>
        <w:t>的原则，建立健全公司突发环境事故应急组织机构。</w:t>
      </w:r>
    </w:p>
    <w:p>
      <w:pPr>
        <w:spacing w:after="0" w:line="364" w:lineRule="auto"/>
        <w:jc w:val="both"/>
        <w:sectPr>
          <w:pgSz w:w="11910" w:h="16840"/>
          <w:pgMar w:header="0" w:footer="984" w:top="1580" w:bottom="1180" w:left="960" w:right="980"/>
        </w:sectPr>
      </w:pPr>
    </w:p>
    <w:p>
      <w:pPr>
        <w:pStyle w:val="ListParagraph"/>
        <w:numPr>
          <w:ilvl w:val="1"/>
          <w:numId w:val="9"/>
        </w:numPr>
        <w:tabs>
          <w:tab w:pos="1237" w:val="left" w:leader="none"/>
        </w:tabs>
        <w:spacing w:line="240" w:lineRule="auto" w:before="102" w:after="0"/>
        <w:ind w:left="1236" w:right="0" w:hanging="496"/>
        <w:jc w:val="both"/>
        <w:rPr>
          <w:b/>
          <w:sz w:val="28"/>
        </w:rPr>
      </w:pPr>
      <w:r>
        <w:rPr/>
        <w:pict>
          <v:group style="position:absolute;margin-left:148.320007pt;margin-top:357.239777pt;width:318.75pt;height:85.2pt;mso-position-horizontal-relative:page;mso-position-vertical-relative:page;z-index:251695104" coordorigin="2966,7145" coordsize="6375,1704">
            <v:shape style="position:absolute;left:6103;top:7728;width:120;height:476" coordorigin="6103,7728" coordsize="120,476" path="m6156,8083l6103,8083,6163,8203,6209,8112,6163,8112,6158,8110,6156,8105,6156,8083xm6161,7728l6156,7730,6154,7735,6156,8105,6158,8110,6163,8112,6168,8110,6170,8105,6170,7735,6168,7730,6161,7728xm6223,8083l6170,8083,6170,8105,6168,8110,6163,8112,6209,8112,6223,8083xe" filled="true" fillcolor="#000000" stroked="false">
              <v:path arrowok="t"/>
              <v:fill type="solid"/>
            </v:shape>
            <v:line style="position:absolute" from="3036,8179" to="9278,8177" stroked="true" strokeweight=".72pt" strokecolor="#000000">
              <v:stroke dashstyle="solid"/>
            </v:line>
            <v:shape style="position:absolute;left:2966;top:8169;width:6375;height:680" coordorigin="2966,8170" coordsize="6375,680" path="m3086,8681l3034,8682,3034,8177,3031,8172,3026,8170,3022,8172,3019,8177,3019,8682,2966,8683,3026,8801,3072,8710,3086,8681m4102,8681l4049,8682,4049,8177,4046,8172,4042,8170,4037,8172,4034,8177,4034,8682,3982,8683,4042,8801,4087,8710,4102,8681m5002,8681l4949,8682,4949,8177,4946,8172,4942,8170,4937,8172,4934,8177,4934,8682,4882,8683,4942,8801,4987,8710,5002,8681m5842,8681l5789,8682,5789,8177,5786,8172,5782,8170,5777,8172,5774,8177,5774,8682,5722,8683,5782,8801,5827,8710,5842,8681m6962,8681l6910,8682,6910,8177,6907,8172,6900,8170,6895,8172,6893,8177,6895,8682,6842,8683,6902,8801,6948,8710,6962,8681m8246,8729l8194,8729,8194,8225,8191,8218,8182,8218,8179,8225,8179,8729,8126,8729,8186,8849,8233,8755,8246,8729m9341,8681l9290,8682,9288,8177,9286,8172,9281,8170,9276,8172,9274,8177,9274,8682,9221,8683,9281,8801,9326,8710,9341,8681e" filled="true" fillcolor="#000000" stroked="false">
              <v:path arrowok="t"/>
              <v:fill type="solid"/>
            </v:shape>
            <v:shape style="position:absolute;left:4783;top:7152;width:2842;height:584" type="#_x0000_t202" filled="false" stroked="true" strokeweight=".72pt" strokecolor="#000000">
              <v:textbox inset="0,0,0,0">
                <w:txbxContent>
                  <w:p>
                    <w:pPr>
                      <w:spacing w:before="0"/>
                      <w:ind w:left="213" w:right="0" w:firstLine="0"/>
                      <w:jc w:val="left"/>
                      <w:rPr>
                        <w:sz w:val="24"/>
                      </w:rPr>
                    </w:pPr>
                    <w:r>
                      <w:rPr>
                        <w:sz w:val="24"/>
                      </w:rPr>
                      <w:t>应急救援指挥领导小组</w:t>
                    </w:r>
                  </w:p>
                </w:txbxContent>
              </v:textbox>
              <v:stroke dashstyle="solid"/>
              <w10:wrap type="none"/>
            </v:shape>
            <w10:wrap type="none"/>
          </v:group>
        </w:pict>
      </w:r>
      <w:bookmarkStart w:name="_TOC_250044" w:id="24"/>
      <w:bookmarkEnd w:id="24"/>
      <w:r>
        <w:rPr>
          <w:b/>
          <w:sz w:val="28"/>
        </w:rPr>
        <w:t>应急组织机构</w:t>
      </w:r>
    </w:p>
    <w:p>
      <w:pPr>
        <w:pStyle w:val="BodyText"/>
        <w:spacing w:line="364" w:lineRule="auto" w:before="186"/>
        <w:ind w:left="741" w:right="716" w:firstLine="559"/>
        <w:jc w:val="both"/>
      </w:pPr>
      <w:r>
        <w:rPr/>
        <w:pict>
          <v:shape style="position:absolute;margin-left:305.519989pt;margin-top:182.656845pt;width:6pt;height:20.3pt;mso-position-horizontal-relative:page;mso-position-vertical-relative:paragraph;z-index:251693056" coordorigin="6110,3653" coordsize="120,406" path="m6163,3939l6110,3939,6170,4059,6217,3965,6170,3965,6166,3963,6163,3958,6163,3939xm6170,3653l6166,3656,6163,3660,6163,3958,6166,3963,6170,3965,6175,3963,6178,3958,6178,3660,6175,3656,6170,3653xm6230,3939l6178,3939,6178,3958,6175,3963,6170,3965,6217,3965,6230,3939xe" filled="true" fillcolor="#000000" stroked="false">
            <v:path arrowok="t"/>
            <v:fill type="solid"/>
            <w10:wrap type="none"/>
          </v:shape>
        </w:pict>
      </w:r>
      <w:r>
        <w:rPr/>
        <w:t>公司组建突发环境事故应急处理指挥领导小组，下设突发环境事</w:t>
      </w:r>
      <w:r>
        <w:rPr>
          <w:spacing w:val="-4"/>
          <w:w w:val="100"/>
        </w:rPr>
        <w:t>故应急处理办公室</w:t>
      </w:r>
      <w:r>
        <w:rPr>
          <w:w w:val="100"/>
        </w:rPr>
        <w:t>（</w:t>
      </w:r>
      <w:r>
        <w:rPr>
          <w:spacing w:val="-2"/>
          <w:w w:val="100"/>
        </w:rPr>
        <w:t>设在办公室</w:t>
      </w:r>
      <w:r>
        <w:rPr>
          <w:spacing w:val="-140"/>
          <w:w w:val="100"/>
        </w:rPr>
        <w:t>）</w:t>
      </w:r>
      <w:r>
        <w:rPr>
          <w:spacing w:val="-5"/>
          <w:w w:val="100"/>
        </w:rPr>
        <w:t>，日常工作由办公室管理。发生事故</w:t>
      </w:r>
      <w:r>
        <w:rPr>
          <w:spacing w:val="-1"/>
        </w:rPr>
        <w:t>时，以应急处理指挥领导小组为基础，成立应急处理指挥部，负责全</w:t>
      </w:r>
      <w:r>
        <w:rPr/>
        <w:t>厂应急处理工作的组织、指挥和协调，指挥部设在办公室。应急组织</w:t>
      </w:r>
      <w:r>
        <w:rPr>
          <w:spacing w:val="-18"/>
        </w:rPr>
        <w:t>机构图 </w:t>
      </w:r>
      <w:r>
        <w:rPr/>
        <w:t>4-1-1。</w:t>
      </w:r>
    </w:p>
    <w:p>
      <w:pPr>
        <w:pStyle w:val="BodyText"/>
        <w:spacing w:before="7"/>
        <w:rPr>
          <w:sz w:val="12"/>
        </w:rPr>
      </w:pPr>
      <w:r>
        <w:rPr/>
        <w:pict>
          <v:shape style="position:absolute;margin-left:239.159988pt;margin-top:10.407495pt;width:133.450pt;height:27pt;mso-position-horizontal-relative:page;mso-position-vertical-relative:paragraph;z-index:-251626496;mso-wrap-distance-left:0;mso-wrap-distance-right:0" type="#_x0000_t202" filled="false" stroked="true" strokeweight=".72pt" strokecolor="#000000">
            <v:textbox inset="0,0,0,0">
              <w:txbxContent>
                <w:p>
                  <w:pPr>
                    <w:spacing w:before="2"/>
                    <w:ind w:left="947" w:right="947" w:firstLine="0"/>
                    <w:jc w:val="center"/>
                    <w:rPr>
                      <w:sz w:val="24"/>
                    </w:rPr>
                  </w:pPr>
                  <w:r>
                    <w:rPr>
                      <w:sz w:val="24"/>
                    </w:rPr>
                    <w:t>总指挥</w:t>
                  </w:r>
                </w:p>
              </w:txbxContent>
            </v:textbox>
            <v:stroke dashstyle="solid"/>
            <w10:wrap type="topAndBottom"/>
          </v:shape>
        </w:pict>
      </w:r>
      <w:r>
        <w:rPr/>
        <w:pict>
          <v:shape style="position:absolute;margin-left:242.639999pt;margin-top:57.327492pt;width:133.6pt;height:28.6pt;mso-position-horizontal-relative:page;mso-position-vertical-relative:paragraph;z-index:-251625472;mso-wrap-distance-left:0;mso-wrap-distance-right:0" type="#_x0000_t202" filled="false" stroked="true" strokeweight=".72pt" strokecolor="#000000">
            <v:textbox inset="0,0,0,0">
              <w:txbxContent>
                <w:p>
                  <w:pPr>
                    <w:spacing w:before="0"/>
                    <w:ind w:left="847" w:right="0" w:firstLine="0"/>
                    <w:jc w:val="left"/>
                    <w:rPr>
                      <w:sz w:val="24"/>
                    </w:rPr>
                  </w:pPr>
                  <w:r>
                    <w:rPr>
                      <w:sz w:val="24"/>
                    </w:rPr>
                    <w:t>副总指挥</w:t>
                  </w:r>
                </w:p>
              </w:txbxContent>
            </v:textbox>
            <v:stroke dashstyle="solid"/>
            <w10:wrap type="topAndBottom"/>
          </v:shape>
        </w:pict>
      </w:r>
    </w:p>
    <w:p>
      <w:pPr>
        <w:pStyle w:val="BodyText"/>
        <w:spacing w:before="6"/>
        <w:rPr>
          <w:sz w:val="24"/>
        </w:rPr>
      </w:pPr>
    </w:p>
    <w:p>
      <w:pPr>
        <w:pStyle w:val="BodyText"/>
        <w:ind w:left="5150"/>
        <w:rPr>
          <w:sz w:val="20"/>
        </w:rPr>
      </w:pPr>
      <w:r>
        <w:rPr>
          <w:sz w:val="20"/>
        </w:rPr>
        <w:pict>
          <v:group style="width:6pt;height:20.3pt;mso-position-horizontal-relative:char;mso-position-vertical-relative:line" coordorigin="0,0" coordsize="120,406">
            <v:shape style="position:absolute;left:0;top:0;width:120;height:406" coordorigin="0,0" coordsize="120,406" path="m53,286l0,286,60,406,107,312,55,312,53,305,53,286xm58,0l53,2,50,10,53,305,55,312,65,312,67,305,67,10,65,2,58,0xm120,286l67,286,67,305,65,312,107,312,120,286xe" filled="true" fillcolor="#000000" stroked="false">
              <v:path arrowok="t"/>
              <v:fill typ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tbl>
      <w:tblPr>
        <w:tblW w:w="0" w:type="auto"/>
        <w:jc w:val="left"/>
        <w:tblInd w:w="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
        <w:gridCol w:w="605"/>
        <w:gridCol w:w="396"/>
        <w:gridCol w:w="550"/>
        <w:gridCol w:w="396"/>
        <w:gridCol w:w="415"/>
        <w:gridCol w:w="393"/>
        <w:gridCol w:w="741"/>
        <w:gridCol w:w="393"/>
        <w:gridCol w:w="895"/>
        <w:gridCol w:w="396"/>
        <w:gridCol w:w="694"/>
        <w:gridCol w:w="396"/>
      </w:tblGrid>
      <w:tr>
        <w:trPr>
          <w:trHeight w:val="52" w:hRule="atLeast"/>
        </w:trPr>
        <w:tc>
          <w:tcPr>
            <w:tcW w:w="1395" w:type="dxa"/>
            <w:gridSpan w:val="3"/>
            <w:tcBorders>
              <w:left w:val="single" w:sz="6" w:space="0" w:color="000000"/>
            </w:tcBorders>
          </w:tcPr>
          <w:p>
            <w:pPr>
              <w:pStyle w:val="TableParagraph"/>
              <w:jc w:val="left"/>
              <w:rPr>
                <w:rFonts w:ascii="Times New Roman"/>
                <w:sz w:val="2"/>
              </w:rPr>
            </w:pPr>
          </w:p>
        </w:tc>
        <w:tc>
          <w:tcPr>
            <w:tcW w:w="550" w:type="dxa"/>
            <w:tcBorders>
              <w:right w:val="single" w:sz="6" w:space="0" w:color="000000"/>
            </w:tcBorders>
          </w:tcPr>
          <w:p>
            <w:pPr>
              <w:pStyle w:val="TableParagraph"/>
              <w:jc w:val="left"/>
              <w:rPr>
                <w:rFonts w:ascii="Times New Roman"/>
                <w:sz w:val="2"/>
              </w:rPr>
            </w:pPr>
          </w:p>
        </w:tc>
        <w:tc>
          <w:tcPr>
            <w:tcW w:w="396" w:type="dxa"/>
            <w:tcBorders>
              <w:bottom w:val="single" w:sz="6" w:space="0" w:color="000000"/>
            </w:tcBorders>
          </w:tcPr>
          <w:p>
            <w:pPr>
              <w:pStyle w:val="TableParagraph"/>
              <w:jc w:val="left"/>
              <w:rPr>
                <w:rFonts w:ascii="Times New Roman"/>
                <w:sz w:val="2"/>
              </w:rPr>
            </w:pPr>
          </w:p>
        </w:tc>
        <w:tc>
          <w:tcPr>
            <w:tcW w:w="415" w:type="dxa"/>
            <w:tcBorders>
              <w:left w:val="single" w:sz="6" w:space="0" w:color="000000"/>
            </w:tcBorders>
          </w:tcPr>
          <w:p>
            <w:pPr>
              <w:pStyle w:val="TableParagraph"/>
              <w:jc w:val="left"/>
              <w:rPr>
                <w:rFonts w:ascii="Times New Roman"/>
                <w:sz w:val="2"/>
              </w:rPr>
            </w:pPr>
          </w:p>
        </w:tc>
        <w:tc>
          <w:tcPr>
            <w:tcW w:w="393" w:type="dxa"/>
            <w:tcBorders>
              <w:bottom w:val="single" w:sz="6" w:space="0" w:color="000000"/>
            </w:tcBorders>
          </w:tcPr>
          <w:p>
            <w:pPr>
              <w:pStyle w:val="TableParagraph"/>
              <w:jc w:val="left"/>
              <w:rPr>
                <w:rFonts w:ascii="Times New Roman"/>
                <w:sz w:val="2"/>
              </w:rPr>
            </w:pPr>
          </w:p>
        </w:tc>
        <w:tc>
          <w:tcPr>
            <w:tcW w:w="741" w:type="dxa"/>
          </w:tcPr>
          <w:p>
            <w:pPr>
              <w:pStyle w:val="TableParagraph"/>
              <w:jc w:val="left"/>
              <w:rPr>
                <w:rFonts w:ascii="Times New Roman"/>
                <w:sz w:val="2"/>
              </w:rPr>
            </w:pPr>
          </w:p>
        </w:tc>
        <w:tc>
          <w:tcPr>
            <w:tcW w:w="393" w:type="dxa"/>
          </w:tcPr>
          <w:p>
            <w:pPr>
              <w:pStyle w:val="TableParagraph"/>
              <w:jc w:val="left"/>
              <w:rPr>
                <w:rFonts w:ascii="Times New Roman"/>
                <w:sz w:val="2"/>
              </w:rPr>
            </w:pPr>
          </w:p>
        </w:tc>
        <w:tc>
          <w:tcPr>
            <w:tcW w:w="895" w:type="dxa"/>
            <w:tcBorders>
              <w:right w:val="single" w:sz="6" w:space="0" w:color="000000"/>
            </w:tcBorders>
          </w:tcPr>
          <w:p>
            <w:pPr>
              <w:pStyle w:val="TableParagraph"/>
              <w:jc w:val="left"/>
              <w:rPr>
                <w:rFonts w:ascii="Times New Roman"/>
                <w:sz w:val="2"/>
              </w:rPr>
            </w:pPr>
          </w:p>
        </w:tc>
        <w:tc>
          <w:tcPr>
            <w:tcW w:w="396" w:type="dxa"/>
            <w:tcBorders>
              <w:bottom w:val="single" w:sz="6" w:space="0" w:color="000000"/>
            </w:tcBorders>
          </w:tcPr>
          <w:p>
            <w:pPr>
              <w:pStyle w:val="TableParagraph"/>
              <w:jc w:val="left"/>
              <w:rPr>
                <w:rFonts w:ascii="Times New Roman"/>
                <w:sz w:val="2"/>
              </w:rPr>
            </w:pPr>
          </w:p>
        </w:tc>
        <w:tc>
          <w:tcPr>
            <w:tcW w:w="694" w:type="dxa"/>
            <w:tcBorders>
              <w:left w:val="single" w:sz="6" w:space="0" w:color="000000"/>
              <w:right w:val="single" w:sz="6" w:space="0" w:color="000000"/>
            </w:tcBorders>
          </w:tcPr>
          <w:p>
            <w:pPr>
              <w:pStyle w:val="TableParagraph"/>
              <w:jc w:val="left"/>
              <w:rPr>
                <w:rFonts w:ascii="Times New Roman"/>
                <w:sz w:val="2"/>
              </w:rPr>
            </w:pPr>
          </w:p>
        </w:tc>
        <w:tc>
          <w:tcPr>
            <w:tcW w:w="396" w:type="dxa"/>
            <w:tcBorders>
              <w:bottom w:val="single" w:sz="6" w:space="0" w:color="000000"/>
            </w:tcBorders>
          </w:tcPr>
          <w:p>
            <w:pPr>
              <w:pStyle w:val="TableParagraph"/>
              <w:jc w:val="left"/>
              <w:rPr>
                <w:rFonts w:ascii="Times New Roman"/>
                <w:sz w:val="2"/>
              </w:rPr>
            </w:pPr>
          </w:p>
        </w:tc>
      </w:tr>
      <w:tr>
        <w:trPr>
          <w:trHeight w:val="232" w:hRule="atLeast"/>
        </w:trPr>
        <w:tc>
          <w:tcPr>
            <w:tcW w:w="394" w:type="dxa"/>
            <w:tcBorders>
              <w:top w:val="single" w:sz="6" w:space="0" w:color="000000"/>
              <w:left w:val="single" w:sz="6" w:space="0" w:color="000000"/>
              <w:right w:val="single" w:sz="6" w:space="0" w:color="000000"/>
            </w:tcBorders>
          </w:tcPr>
          <w:p>
            <w:pPr>
              <w:pStyle w:val="TableParagraph"/>
              <w:jc w:val="left"/>
              <w:rPr>
                <w:rFonts w:ascii="Times New Roman"/>
                <w:sz w:val="16"/>
              </w:rPr>
            </w:pPr>
          </w:p>
        </w:tc>
        <w:tc>
          <w:tcPr>
            <w:tcW w:w="605" w:type="dxa"/>
            <w:tcBorders>
              <w:left w:val="single" w:sz="6" w:space="0" w:color="000000"/>
            </w:tcBorders>
          </w:tcPr>
          <w:p>
            <w:pPr>
              <w:pStyle w:val="TableParagraph"/>
              <w:jc w:val="left"/>
              <w:rPr>
                <w:rFonts w:ascii="Times New Roman"/>
                <w:sz w:val="16"/>
              </w:rPr>
            </w:pPr>
          </w:p>
        </w:tc>
        <w:tc>
          <w:tcPr>
            <w:tcW w:w="396" w:type="dxa"/>
          </w:tcPr>
          <w:p>
            <w:pPr>
              <w:pStyle w:val="TableParagraph"/>
              <w:jc w:val="left"/>
              <w:rPr>
                <w:rFonts w:ascii="Times New Roman"/>
                <w:sz w:val="16"/>
              </w:rPr>
            </w:pPr>
          </w:p>
        </w:tc>
        <w:tc>
          <w:tcPr>
            <w:tcW w:w="550" w:type="dxa"/>
            <w:tcBorders>
              <w:right w:val="single" w:sz="6" w:space="0" w:color="000000"/>
            </w:tcBorders>
          </w:tcPr>
          <w:p>
            <w:pPr>
              <w:pStyle w:val="TableParagraph"/>
              <w:jc w:val="left"/>
              <w:rPr>
                <w:rFonts w:ascii="Times New Roman"/>
                <w:sz w:val="16"/>
              </w:rPr>
            </w:pPr>
          </w:p>
        </w:tc>
        <w:tc>
          <w:tcPr>
            <w:tcW w:w="396" w:type="dxa"/>
            <w:tcBorders>
              <w:top w:val="single" w:sz="6" w:space="0" w:color="000000"/>
              <w:left w:val="single" w:sz="6" w:space="0" w:color="000000"/>
              <w:right w:val="single" w:sz="6" w:space="0" w:color="000000"/>
            </w:tcBorders>
          </w:tcPr>
          <w:p>
            <w:pPr>
              <w:pStyle w:val="TableParagraph"/>
              <w:jc w:val="left"/>
              <w:rPr>
                <w:rFonts w:ascii="Times New Roman"/>
                <w:sz w:val="20"/>
              </w:rPr>
            </w:pPr>
          </w:p>
        </w:tc>
        <w:tc>
          <w:tcPr>
            <w:tcW w:w="415" w:type="dxa"/>
            <w:tcBorders>
              <w:left w:val="single" w:sz="6" w:space="0" w:color="000000"/>
              <w:right w:val="single" w:sz="6" w:space="0" w:color="000000"/>
            </w:tcBorders>
          </w:tcPr>
          <w:p>
            <w:pPr>
              <w:pStyle w:val="TableParagraph"/>
              <w:jc w:val="left"/>
              <w:rPr>
                <w:rFonts w:ascii="Times New Roman"/>
                <w:sz w:val="16"/>
              </w:rPr>
            </w:pPr>
          </w:p>
        </w:tc>
        <w:tc>
          <w:tcPr>
            <w:tcW w:w="393" w:type="dxa"/>
            <w:tcBorders>
              <w:top w:val="single" w:sz="6" w:space="0" w:color="000000"/>
              <w:left w:val="single" w:sz="6" w:space="0" w:color="000000"/>
              <w:right w:val="single" w:sz="6" w:space="0" w:color="000000"/>
            </w:tcBorders>
          </w:tcPr>
          <w:p>
            <w:pPr>
              <w:pStyle w:val="TableParagraph"/>
              <w:jc w:val="left"/>
              <w:rPr>
                <w:rFonts w:ascii="Times New Roman"/>
                <w:sz w:val="16"/>
              </w:rPr>
            </w:pPr>
          </w:p>
        </w:tc>
        <w:tc>
          <w:tcPr>
            <w:tcW w:w="741" w:type="dxa"/>
            <w:tcBorders>
              <w:left w:val="single" w:sz="6" w:space="0" w:color="000000"/>
            </w:tcBorders>
          </w:tcPr>
          <w:p>
            <w:pPr>
              <w:pStyle w:val="TableParagraph"/>
              <w:jc w:val="left"/>
              <w:rPr>
                <w:rFonts w:ascii="Times New Roman"/>
                <w:sz w:val="16"/>
              </w:rPr>
            </w:pPr>
          </w:p>
        </w:tc>
        <w:tc>
          <w:tcPr>
            <w:tcW w:w="393" w:type="dxa"/>
          </w:tcPr>
          <w:p>
            <w:pPr>
              <w:pStyle w:val="TableParagraph"/>
              <w:jc w:val="left"/>
              <w:rPr>
                <w:rFonts w:ascii="Times New Roman"/>
                <w:sz w:val="16"/>
              </w:rPr>
            </w:pPr>
          </w:p>
        </w:tc>
        <w:tc>
          <w:tcPr>
            <w:tcW w:w="895" w:type="dxa"/>
            <w:tcBorders>
              <w:right w:val="single" w:sz="6" w:space="0" w:color="000000"/>
            </w:tcBorders>
          </w:tcPr>
          <w:p>
            <w:pPr>
              <w:pStyle w:val="TableParagraph"/>
              <w:jc w:val="left"/>
              <w:rPr>
                <w:rFonts w:ascii="Times New Roman"/>
                <w:sz w:val="16"/>
              </w:rPr>
            </w:pPr>
          </w:p>
        </w:tc>
        <w:tc>
          <w:tcPr>
            <w:tcW w:w="396" w:type="dxa"/>
            <w:tcBorders>
              <w:top w:val="single" w:sz="6" w:space="0" w:color="000000"/>
              <w:left w:val="single" w:sz="6" w:space="0" w:color="000000"/>
              <w:right w:val="single" w:sz="6" w:space="0" w:color="000000"/>
            </w:tcBorders>
          </w:tcPr>
          <w:p>
            <w:pPr>
              <w:pStyle w:val="TableParagraph"/>
              <w:spacing w:line="258" w:lineRule="exact"/>
              <w:ind w:left="14"/>
              <w:rPr>
                <w:sz w:val="24"/>
              </w:rPr>
            </w:pPr>
            <w:r>
              <w:rPr>
                <w:sz w:val="24"/>
              </w:rPr>
              <w:t>应</w:t>
            </w:r>
          </w:p>
        </w:tc>
        <w:tc>
          <w:tcPr>
            <w:tcW w:w="694" w:type="dxa"/>
            <w:tcBorders>
              <w:left w:val="single" w:sz="6" w:space="0" w:color="000000"/>
              <w:right w:val="single" w:sz="6" w:space="0" w:color="000000"/>
            </w:tcBorders>
          </w:tcPr>
          <w:p>
            <w:pPr>
              <w:pStyle w:val="TableParagraph"/>
              <w:jc w:val="left"/>
              <w:rPr>
                <w:rFonts w:ascii="Times New Roman"/>
                <w:sz w:val="16"/>
              </w:rPr>
            </w:pPr>
          </w:p>
        </w:tc>
        <w:tc>
          <w:tcPr>
            <w:tcW w:w="396" w:type="dxa"/>
            <w:tcBorders>
              <w:top w:val="single" w:sz="6" w:space="0" w:color="000000"/>
              <w:left w:val="single" w:sz="6" w:space="0" w:color="000000"/>
              <w:right w:val="single" w:sz="6" w:space="0" w:color="000000"/>
            </w:tcBorders>
          </w:tcPr>
          <w:p>
            <w:pPr>
              <w:pStyle w:val="TableParagraph"/>
              <w:spacing w:line="258" w:lineRule="exact"/>
              <w:ind w:left="18"/>
              <w:rPr>
                <w:sz w:val="24"/>
              </w:rPr>
            </w:pPr>
            <w:r>
              <w:rPr>
                <w:sz w:val="24"/>
              </w:rPr>
              <w:t>消</w:t>
            </w:r>
          </w:p>
        </w:tc>
      </w:tr>
      <w:tr>
        <w:trPr>
          <w:trHeight w:val="314" w:hRule="atLeast"/>
        </w:trPr>
        <w:tc>
          <w:tcPr>
            <w:tcW w:w="394" w:type="dxa"/>
            <w:tcBorders>
              <w:left w:val="single" w:sz="6" w:space="0" w:color="000000"/>
              <w:right w:val="single" w:sz="6" w:space="0" w:color="000000"/>
            </w:tcBorders>
          </w:tcPr>
          <w:p>
            <w:pPr>
              <w:pStyle w:val="TableParagraph"/>
              <w:spacing w:line="281" w:lineRule="exact" w:before="13"/>
              <w:ind w:left="76"/>
              <w:jc w:val="left"/>
              <w:rPr>
                <w:sz w:val="24"/>
              </w:rPr>
            </w:pPr>
            <w:r>
              <w:rPr>
                <w:sz w:val="24"/>
              </w:rPr>
              <w:t>抢</w:t>
            </w:r>
          </w:p>
        </w:tc>
        <w:tc>
          <w:tcPr>
            <w:tcW w:w="605" w:type="dxa"/>
            <w:tcBorders>
              <w:left w:val="single" w:sz="6" w:space="0" w:color="000000"/>
            </w:tcBorders>
          </w:tcPr>
          <w:p>
            <w:pPr>
              <w:pStyle w:val="TableParagraph"/>
              <w:jc w:val="left"/>
              <w:rPr>
                <w:rFonts w:ascii="Times New Roman"/>
                <w:sz w:val="22"/>
              </w:rPr>
            </w:pPr>
          </w:p>
        </w:tc>
        <w:tc>
          <w:tcPr>
            <w:tcW w:w="396" w:type="dxa"/>
          </w:tcPr>
          <w:p>
            <w:pPr>
              <w:pStyle w:val="TableParagraph"/>
              <w:spacing w:line="275" w:lineRule="exact"/>
              <w:ind w:left="15"/>
              <w:rPr>
                <w:sz w:val="24"/>
              </w:rPr>
            </w:pPr>
            <w:r>
              <w:rPr>
                <w:sz w:val="24"/>
              </w:rPr>
              <w:t>医</w:t>
            </w:r>
          </w:p>
        </w:tc>
        <w:tc>
          <w:tcPr>
            <w:tcW w:w="550" w:type="dxa"/>
            <w:tcBorders>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92" w:lineRule="exact"/>
              <w:ind w:left="10"/>
              <w:rPr>
                <w:sz w:val="24"/>
              </w:rPr>
            </w:pPr>
            <w:r>
              <w:rPr>
                <w:sz w:val="24"/>
              </w:rPr>
              <w:t>后</w:t>
            </w:r>
          </w:p>
        </w:tc>
        <w:tc>
          <w:tcPr>
            <w:tcW w:w="415" w:type="dxa"/>
            <w:tcBorders>
              <w:left w:val="single" w:sz="6" w:space="0" w:color="000000"/>
              <w:right w:val="single" w:sz="6" w:space="0" w:color="000000"/>
            </w:tcBorders>
          </w:tcPr>
          <w:p>
            <w:pPr>
              <w:pStyle w:val="TableParagraph"/>
              <w:jc w:val="left"/>
              <w:rPr>
                <w:rFonts w:ascii="Times New Roman"/>
                <w:sz w:val="22"/>
              </w:rPr>
            </w:pPr>
          </w:p>
        </w:tc>
        <w:tc>
          <w:tcPr>
            <w:tcW w:w="393" w:type="dxa"/>
            <w:tcBorders>
              <w:left w:val="single" w:sz="6" w:space="0" w:color="000000"/>
              <w:right w:val="single" w:sz="6" w:space="0" w:color="000000"/>
            </w:tcBorders>
          </w:tcPr>
          <w:p>
            <w:pPr>
              <w:pStyle w:val="TableParagraph"/>
              <w:spacing w:line="267" w:lineRule="exact" w:before="27"/>
              <w:ind w:left="13"/>
              <w:rPr>
                <w:sz w:val="24"/>
              </w:rPr>
            </w:pPr>
            <w:r>
              <w:rPr>
                <w:sz w:val="24"/>
              </w:rPr>
              <w:t>生</w:t>
            </w:r>
          </w:p>
        </w:tc>
        <w:tc>
          <w:tcPr>
            <w:tcW w:w="741" w:type="dxa"/>
            <w:tcBorders>
              <w:left w:val="single" w:sz="6" w:space="0" w:color="000000"/>
            </w:tcBorders>
          </w:tcPr>
          <w:p>
            <w:pPr>
              <w:pStyle w:val="TableParagraph"/>
              <w:jc w:val="left"/>
              <w:rPr>
                <w:rFonts w:ascii="Times New Roman"/>
                <w:sz w:val="22"/>
              </w:rPr>
            </w:pPr>
          </w:p>
        </w:tc>
        <w:tc>
          <w:tcPr>
            <w:tcW w:w="393" w:type="dxa"/>
          </w:tcPr>
          <w:p>
            <w:pPr>
              <w:pStyle w:val="TableParagraph"/>
              <w:spacing w:line="275" w:lineRule="exact"/>
              <w:ind w:left="16"/>
              <w:rPr>
                <w:sz w:val="24"/>
              </w:rPr>
            </w:pPr>
            <w:r>
              <w:rPr>
                <w:sz w:val="24"/>
              </w:rPr>
              <w:t>警</w:t>
            </w:r>
          </w:p>
        </w:tc>
        <w:tc>
          <w:tcPr>
            <w:tcW w:w="895" w:type="dxa"/>
            <w:tcBorders>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77" w:lineRule="exact" w:before="18"/>
              <w:ind w:left="14"/>
              <w:rPr>
                <w:sz w:val="24"/>
              </w:rPr>
            </w:pPr>
            <w:r>
              <w:rPr>
                <w:sz w:val="24"/>
              </w:rPr>
              <w:t>急</w:t>
            </w:r>
          </w:p>
        </w:tc>
        <w:tc>
          <w:tcPr>
            <w:tcW w:w="694" w:type="dxa"/>
            <w:tcBorders>
              <w:left w:val="single" w:sz="6" w:space="0" w:color="000000"/>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77" w:lineRule="exact" w:before="18"/>
              <w:ind w:left="18"/>
              <w:rPr>
                <w:sz w:val="24"/>
              </w:rPr>
            </w:pPr>
            <w:r>
              <w:rPr>
                <w:sz w:val="24"/>
              </w:rPr>
              <w:t>防</w:t>
            </w:r>
          </w:p>
        </w:tc>
      </w:tr>
      <w:tr>
        <w:trPr>
          <w:trHeight w:val="311" w:hRule="atLeast"/>
        </w:trPr>
        <w:tc>
          <w:tcPr>
            <w:tcW w:w="394" w:type="dxa"/>
            <w:tcBorders>
              <w:left w:val="single" w:sz="6" w:space="0" w:color="000000"/>
              <w:right w:val="single" w:sz="6" w:space="0" w:color="000000"/>
            </w:tcBorders>
          </w:tcPr>
          <w:p>
            <w:pPr>
              <w:pStyle w:val="TableParagraph"/>
              <w:spacing w:line="281" w:lineRule="exact" w:before="10"/>
              <w:ind w:left="76"/>
              <w:jc w:val="left"/>
              <w:rPr>
                <w:sz w:val="24"/>
              </w:rPr>
            </w:pPr>
            <w:r>
              <w:rPr>
                <w:sz w:val="24"/>
              </w:rPr>
              <w:t>险</w:t>
            </w:r>
          </w:p>
        </w:tc>
        <w:tc>
          <w:tcPr>
            <w:tcW w:w="605" w:type="dxa"/>
            <w:tcBorders>
              <w:left w:val="single" w:sz="6" w:space="0" w:color="000000"/>
            </w:tcBorders>
          </w:tcPr>
          <w:p>
            <w:pPr>
              <w:pStyle w:val="TableParagraph"/>
              <w:jc w:val="left"/>
              <w:rPr>
                <w:rFonts w:ascii="Times New Roman"/>
                <w:sz w:val="22"/>
              </w:rPr>
            </w:pPr>
          </w:p>
        </w:tc>
        <w:tc>
          <w:tcPr>
            <w:tcW w:w="396" w:type="dxa"/>
          </w:tcPr>
          <w:p>
            <w:pPr>
              <w:pStyle w:val="TableParagraph"/>
              <w:spacing w:line="273" w:lineRule="exact"/>
              <w:ind w:left="15"/>
              <w:rPr>
                <w:sz w:val="24"/>
              </w:rPr>
            </w:pPr>
            <w:r>
              <w:rPr>
                <w:sz w:val="24"/>
              </w:rPr>
              <w:t>疗</w:t>
            </w:r>
          </w:p>
        </w:tc>
        <w:tc>
          <w:tcPr>
            <w:tcW w:w="550" w:type="dxa"/>
            <w:tcBorders>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87" w:lineRule="exact"/>
              <w:ind w:left="10"/>
              <w:rPr>
                <w:sz w:val="24"/>
              </w:rPr>
            </w:pPr>
            <w:r>
              <w:rPr>
                <w:sz w:val="24"/>
              </w:rPr>
              <w:t>勤</w:t>
            </w:r>
          </w:p>
        </w:tc>
        <w:tc>
          <w:tcPr>
            <w:tcW w:w="415" w:type="dxa"/>
            <w:tcBorders>
              <w:left w:val="single" w:sz="6" w:space="0" w:color="000000"/>
              <w:right w:val="single" w:sz="6" w:space="0" w:color="000000"/>
            </w:tcBorders>
          </w:tcPr>
          <w:p>
            <w:pPr>
              <w:pStyle w:val="TableParagraph"/>
              <w:jc w:val="left"/>
              <w:rPr>
                <w:rFonts w:ascii="Times New Roman"/>
                <w:sz w:val="22"/>
              </w:rPr>
            </w:pPr>
          </w:p>
        </w:tc>
        <w:tc>
          <w:tcPr>
            <w:tcW w:w="393" w:type="dxa"/>
            <w:tcBorders>
              <w:left w:val="single" w:sz="6" w:space="0" w:color="000000"/>
              <w:right w:val="single" w:sz="6" w:space="0" w:color="000000"/>
            </w:tcBorders>
          </w:tcPr>
          <w:p>
            <w:pPr>
              <w:pStyle w:val="TableParagraph"/>
              <w:spacing w:line="267" w:lineRule="exact" w:before="25"/>
              <w:ind w:left="13"/>
              <w:rPr>
                <w:sz w:val="24"/>
              </w:rPr>
            </w:pPr>
            <w:r>
              <w:rPr>
                <w:sz w:val="24"/>
              </w:rPr>
              <w:t>产</w:t>
            </w:r>
          </w:p>
        </w:tc>
        <w:tc>
          <w:tcPr>
            <w:tcW w:w="741" w:type="dxa"/>
            <w:tcBorders>
              <w:left w:val="single" w:sz="6" w:space="0" w:color="000000"/>
            </w:tcBorders>
          </w:tcPr>
          <w:p>
            <w:pPr>
              <w:pStyle w:val="TableParagraph"/>
              <w:jc w:val="left"/>
              <w:rPr>
                <w:rFonts w:ascii="Times New Roman"/>
                <w:sz w:val="22"/>
              </w:rPr>
            </w:pPr>
          </w:p>
        </w:tc>
        <w:tc>
          <w:tcPr>
            <w:tcW w:w="393" w:type="dxa"/>
          </w:tcPr>
          <w:p>
            <w:pPr>
              <w:pStyle w:val="TableParagraph"/>
              <w:spacing w:line="273" w:lineRule="exact"/>
              <w:ind w:left="16"/>
              <w:rPr>
                <w:sz w:val="24"/>
              </w:rPr>
            </w:pPr>
            <w:r>
              <w:rPr>
                <w:sz w:val="24"/>
              </w:rPr>
              <w:t>戒</w:t>
            </w:r>
          </w:p>
        </w:tc>
        <w:tc>
          <w:tcPr>
            <w:tcW w:w="895" w:type="dxa"/>
            <w:tcBorders>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77" w:lineRule="exact" w:before="15"/>
              <w:ind w:left="14"/>
              <w:rPr>
                <w:sz w:val="24"/>
              </w:rPr>
            </w:pPr>
            <w:r>
              <w:rPr>
                <w:sz w:val="24"/>
              </w:rPr>
              <w:t>监</w:t>
            </w:r>
          </w:p>
        </w:tc>
        <w:tc>
          <w:tcPr>
            <w:tcW w:w="694" w:type="dxa"/>
            <w:tcBorders>
              <w:left w:val="single" w:sz="6" w:space="0" w:color="000000"/>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77" w:lineRule="exact" w:before="15"/>
              <w:ind w:left="18"/>
              <w:rPr>
                <w:sz w:val="24"/>
              </w:rPr>
            </w:pPr>
            <w:r>
              <w:rPr>
                <w:sz w:val="24"/>
              </w:rPr>
              <w:t>灭</w:t>
            </w:r>
          </w:p>
        </w:tc>
      </w:tr>
      <w:tr>
        <w:trPr>
          <w:trHeight w:val="311" w:hRule="atLeast"/>
        </w:trPr>
        <w:tc>
          <w:tcPr>
            <w:tcW w:w="394" w:type="dxa"/>
            <w:tcBorders>
              <w:left w:val="single" w:sz="6" w:space="0" w:color="000000"/>
              <w:right w:val="single" w:sz="6" w:space="0" w:color="000000"/>
            </w:tcBorders>
          </w:tcPr>
          <w:p>
            <w:pPr>
              <w:pStyle w:val="TableParagraph"/>
              <w:spacing w:line="284" w:lineRule="exact" w:before="8"/>
              <w:ind w:left="76"/>
              <w:jc w:val="left"/>
              <w:rPr>
                <w:sz w:val="24"/>
              </w:rPr>
            </w:pPr>
            <w:r>
              <w:rPr>
                <w:sz w:val="24"/>
              </w:rPr>
              <w:t>抢</w:t>
            </w:r>
          </w:p>
        </w:tc>
        <w:tc>
          <w:tcPr>
            <w:tcW w:w="605" w:type="dxa"/>
            <w:tcBorders>
              <w:left w:val="single" w:sz="6" w:space="0" w:color="000000"/>
            </w:tcBorders>
          </w:tcPr>
          <w:p>
            <w:pPr>
              <w:pStyle w:val="TableParagraph"/>
              <w:jc w:val="left"/>
              <w:rPr>
                <w:rFonts w:ascii="Times New Roman"/>
                <w:sz w:val="22"/>
              </w:rPr>
            </w:pPr>
          </w:p>
        </w:tc>
        <w:tc>
          <w:tcPr>
            <w:tcW w:w="396" w:type="dxa"/>
          </w:tcPr>
          <w:p>
            <w:pPr>
              <w:pStyle w:val="TableParagraph"/>
              <w:spacing w:line="273" w:lineRule="exact"/>
              <w:ind w:left="15"/>
              <w:rPr>
                <w:sz w:val="24"/>
              </w:rPr>
            </w:pPr>
            <w:r>
              <w:rPr>
                <w:sz w:val="24"/>
              </w:rPr>
              <w:t>救</w:t>
            </w:r>
          </w:p>
        </w:tc>
        <w:tc>
          <w:tcPr>
            <w:tcW w:w="550" w:type="dxa"/>
            <w:tcBorders>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87" w:lineRule="exact"/>
              <w:ind w:left="10"/>
              <w:rPr>
                <w:sz w:val="24"/>
              </w:rPr>
            </w:pPr>
            <w:r>
              <w:rPr>
                <w:sz w:val="24"/>
              </w:rPr>
              <w:t>保</w:t>
            </w:r>
          </w:p>
        </w:tc>
        <w:tc>
          <w:tcPr>
            <w:tcW w:w="415" w:type="dxa"/>
            <w:tcBorders>
              <w:left w:val="single" w:sz="6" w:space="0" w:color="000000"/>
              <w:right w:val="single" w:sz="6" w:space="0" w:color="000000"/>
            </w:tcBorders>
          </w:tcPr>
          <w:p>
            <w:pPr>
              <w:pStyle w:val="TableParagraph"/>
              <w:jc w:val="left"/>
              <w:rPr>
                <w:rFonts w:ascii="Times New Roman"/>
                <w:sz w:val="22"/>
              </w:rPr>
            </w:pPr>
          </w:p>
        </w:tc>
        <w:tc>
          <w:tcPr>
            <w:tcW w:w="393" w:type="dxa"/>
            <w:tcBorders>
              <w:left w:val="single" w:sz="6" w:space="0" w:color="000000"/>
              <w:right w:val="single" w:sz="6" w:space="0" w:color="000000"/>
            </w:tcBorders>
          </w:tcPr>
          <w:p>
            <w:pPr>
              <w:pStyle w:val="TableParagraph"/>
              <w:spacing w:line="267" w:lineRule="exact" w:before="25"/>
              <w:ind w:left="13"/>
              <w:rPr>
                <w:sz w:val="24"/>
              </w:rPr>
            </w:pPr>
            <w:r>
              <w:rPr>
                <w:sz w:val="24"/>
              </w:rPr>
              <w:t>调</w:t>
            </w:r>
          </w:p>
        </w:tc>
        <w:tc>
          <w:tcPr>
            <w:tcW w:w="741" w:type="dxa"/>
            <w:tcBorders>
              <w:left w:val="single" w:sz="6" w:space="0" w:color="000000"/>
            </w:tcBorders>
          </w:tcPr>
          <w:p>
            <w:pPr>
              <w:pStyle w:val="TableParagraph"/>
              <w:jc w:val="left"/>
              <w:rPr>
                <w:rFonts w:ascii="Times New Roman"/>
                <w:sz w:val="22"/>
              </w:rPr>
            </w:pPr>
          </w:p>
        </w:tc>
        <w:tc>
          <w:tcPr>
            <w:tcW w:w="393" w:type="dxa"/>
          </w:tcPr>
          <w:p>
            <w:pPr>
              <w:pStyle w:val="TableParagraph"/>
              <w:spacing w:line="273" w:lineRule="exact"/>
              <w:ind w:left="16"/>
              <w:rPr>
                <w:sz w:val="24"/>
              </w:rPr>
            </w:pPr>
            <w:r>
              <w:rPr>
                <w:sz w:val="24"/>
              </w:rPr>
              <w:t>疏</w:t>
            </w:r>
          </w:p>
        </w:tc>
        <w:tc>
          <w:tcPr>
            <w:tcW w:w="895" w:type="dxa"/>
            <w:tcBorders>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77" w:lineRule="exact" w:before="15"/>
              <w:ind w:left="14"/>
              <w:rPr>
                <w:sz w:val="24"/>
              </w:rPr>
            </w:pPr>
            <w:r>
              <w:rPr>
                <w:sz w:val="24"/>
              </w:rPr>
              <w:t>测</w:t>
            </w:r>
          </w:p>
        </w:tc>
        <w:tc>
          <w:tcPr>
            <w:tcW w:w="694" w:type="dxa"/>
            <w:tcBorders>
              <w:left w:val="single" w:sz="6" w:space="0" w:color="000000"/>
              <w:right w:val="single" w:sz="6" w:space="0" w:color="000000"/>
            </w:tcBorders>
          </w:tcPr>
          <w:p>
            <w:pPr>
              <w:pStyle w:val="TableParagraph"/>
              <w:jc w:val="left"/>
              <w:rPr>
                <w:rFonts w:ascii="Times New Roman"/>
                <w:sz w:val="22"/>
              </w:rPr>
            </w:pPr>
          </w:p>
        </w:tc>
        <w:tc>
          <w:tcPr>
            <w:tcW w:w="396" w:type="dxa"/>
            <w:tcBorders>
              <w:left w:val="single" w:sz="6" w:space="0" w:color="000000"/>
              <w:right w:val="single" w:sz="6" w:space="0" w:color="000000"/>
            </w:tcBorders>
          </w:tcPr>
          <w:p>
            <w:pPr>
              <w:pStyle w:val="TableParagraph"/>
              <w:spacing w:line="277" w:lineRule="exact" w:before="15"/>
              <w:ind w:left="18"/>
              <w:rPr>
                <w:sz w:val="24"/>
              </w:rPr>
            </w:pPr>
            <w:r>
              <w:rPr>
                <w:sz w:val="24"/>
              </w:rPr>
              <w:t>火</w:t>
            </w:r>
          </w:p>
        </w:tc>
      </w:tr>
      <w:tr>
        <w:trPr>
          <w:trHeight w:val="778" w:hRule="atLeast"/>
        </w:trPr>
        <w:tc>
          <w:tcPr>
            <w:tcW w:w="394" w:type="dxa"/>
            <w:tcBorders>
              <w:left w:val="single" w:sz="6" w:space="0" w:color="000000"/>
              <w:bottom w:val="single" w:sz="6" w:space="0" w:color="000000"/>
              <w:right w:val="single" w:sz="6" w:space="0" w:color="000000"/>
            </w:tcBorders>
          </w:tcPr>
          <w:p>
            <w:pPr>
              <w:pStyle w:val="TableParagraph"/>
              <w:spacing w:line="242" w:lineRule="auto" w:before="8"/>
              <w:ind w:left="76" w:right="60"/>
              <w:jc w:val="left"/>
              <w:rPr>
                <w:sz w:val="24"/>
              </w:rPr>
            </w:pPr>
            <w:r>
              <w:rPr>
                <w:sz w:val="24"/>
              </w:rPr>
              <w:t>修组</w:t>
            </w:r>
          </w:p>
        </w:tc>
        <w:tc>
          <w:tcPr>
            <w:tcW w:w="605" w:type="dxa"/>
            <w:tcBorders>
              <w:left w:val="single" w:sz="6" w:space="0" w:color="000000"/>
            </w:tcBorders>
          </w:tcPr>
          <w:p>
            <w:pPr>
              <w:pStyle w:val="TableParagraph"/>
              <w:jc w:val="left"/>
              <w:rPr>
                <w:rFonts w:ascii="Times New Roman"/>
                <w:sz w:val="26"/>
              </w:rPr>
            </w:pPr>
          </w:p>
        </w:tc>
        <w:tc>
          <w:tcPr>
            <w:tcW w:w="396" w:type="dxa"/>
          </w:tcPr>
          <w:p>
            <w:pPr>
              <w:pStyle w:val="TableParagraph"/>
              <w:spacing w:line="270" w:lineRule="exact"/>
              <w:ind w:left="85"/>
              <w:jc w:val="left"/>
              <w:rPr>
                <w:sz w:val="24"/>
              </w:rPr>
            </w:pPr>
            <w:r>
              <w:rPr>
                <w:sz w:val="24"/>
              </w:rPr>
              <w:t>护</w:t>
            </w:r>
          </w:p>
          <w:p>
            <w:pPr>
              <w:pStyle w:val="TableParagraph"/>
              <w:spacing w:before="4"/>
              <w:ind w:left="85"/>
              <w:jc w:val="left"/>
              <w:rPr>
                <w:sz w:val="24"/>
              </w:rPr>
            </w:pPr>
            <w:r>
              <w:rPr>
                <w:sz w:val="24"/>
              </w:rPr>
              <w:t>组</w:t>
            </w:r>
          </w:p>
        </w:tc>
        <w:tc>
          <w:tcPr>
            <w:tcW w:w="550" w:type="dxa"/>
            <w:tcBorders>
              <w:right w:val="single" w:sz="6" w:space="0" w:color="000000"/>
            </w:tcBorders>
          </w:tcPr>
          <w:p>
            <w:pPr>
              <w:pStyle w:val="TableParagraph"/>
              <w:jc w:val="left"/>
              <w:rPr>
                <w:rFonts w:ascii="Times New Roman"/>
                <w:sz w:val="26"/>
              </w:rPr>
            </w:pPr>
          </w:p>
        </w:tc>
        <w:tc>
          <w:tcPr>
            <w:tcW w:w="396" w:type="dxa"/>
            <w:tcBorders>
              <w:left w:val="single" w:sz="6" w:space="0" w:color="000000"/>
              <w:right w:val="single" w:sz="6" w:space="0" w:color="000000"/>
            </w:tcBorders>
          </w:tcPr>
          <w:p>
            <w:pPr>
              <w:pStyle w:val="TableParagraph"/>
              <w:spacing w:line="287" w:lineRule="exact"/>
              <w:ind w:left="75"/>
              <w:jc w:val="left"/>
              <w:rPr>
                <w:sz w:val="24"/>
              </w:rPr>
            </w:pPr>
            <w:r>
              <w:rPr>
                <w:sz w:val="24"/>
              </w:rPr>
              <w:t>障</w:t>
            </w:r>
          </w:p>
          <w:p>
            <w:pPr>
              <w:pStyle w:val="TableParagraph"/>
              <w:spacing w:before="2"/>
              <w:ind w:left="75"/>
              <w:jc w:val="left"/>
              <w:rPr>
                <w:sz w:val="24"/>
              </w:rPr>
            </w:pPr>
            <w:r>
              <w:rPr>
                <w:sz w:val="24"/>
              </w:rPr>
              <w:t>组</w:t>
            </w:r>
          </w:p>
        </w:tc>
        <w:tc>
          <w:tcPr>
            <w:tcW w:w="415" w:type="dxa"/>
            <w:tcBorders>
              <w:left w:val="single" w:sz="6" w:space="0" w:color="000000"/>
              <w:right w:val="single" w:sz="6" w:space="0" w:color="000000"/>
            </w:tcBorders>
          </w:tcPr>
          <w:p>
            <w:pPr>
              <w:pStyle w:val="TableParagraph"/>
              <w:jc w:val="left"/>
              <w:rPr>
                <w:rFonts w:ascii="Times New Roman"/>
                <w:sz w:val="26"/>
              </w:rPr>
            </w:pPr>
          </w:p>
        </w:tc>
        <w:tc>
          <w:tcPr>
            <w:tcW w:w="393" w:type="dxa"/>
            <w:tcBorders>
              <w:left w:val="single" w:sz="6" w:space="0" w:color="000000"/>
              <w:bottom w:val="single" w:sz="6" w:space="0" w:color="000000"/>
              <w:right w:val="single" w:sz="6" w:space="0" w:color="000000"/>
            </w:tcBorders>
          </w:tcPr>
          <w:p>
            <w:pPr>
              <w:pStyle w:val="TableParagraph"/>
              <w:spacing w:line="242" w:lineRule="auto" w:before="22"/>
              <w:ind w:left="75" w:right="60"/>
              <w:jc w:val="left"/>
              <w:rPr>
                <w:sz w:val="24"/>
              </w:rPr>
            </w:pPr>
            <w:r>
              <w:rPr>
                <w:sz w:val="24"/>
              </w:rPr>
              <w:t>整组</w:t>
            </w:r>
          </w:p>
        </w:tc>
        <w:tc>
          <w:tcPr>
            <w:tcW w:w="741" w:type="dxa"/>
            <w:tcBorders>
              <w:left w:val="single" w:sz="6" w:space="0" w:color="000000"/>
            </w:tcBorders>
          </w:tcPr>
          <w:p>
            <w:pPr>
              <w:pStyle w:val="TableParagraph"/>
              <w:jc w:val="left"/>
              <w:rPr>
                <w:rFonts w:ascii="Times New Roman"/>
                <w:sz w:val="26"/>
              </w:rPr>
            </w:pPr>
          </w:p>
        </w:tc>
        <w:tc>
          <w:tcPr>
            <w:tcW w:w="393" w:type="dxa"/>
          </w:tcPr>
          <w:p>
            <w:pPr>
              <w:pStyle w:val="TableParagraph"/>
              <w:spacing w:line="270" w:lineRule="exact"/>
              <w:ind w:left="84"/>
              <w:jc w:val="left"/>
              <w:rPr>
                <w:sz w:val="24"/>
              </w:rPr>
            </w:pPr>
            <w:r>
              <w:rPr>
                <w:sz w:val="24"/>
              </w:rPr>
              <w:t>散</w:t>
            </w:r>
          </w:p>
          <w:p>
            <w:pPr>
              <w:pStyle w:val="TableParagraph"/>
              <w:spacing w:before="4"/>
              <w:ind w:left="84"/>
              <w:jc w:val="left"/>
              <w:rPr>
                <w:sz w:val="24"/>
              </w:rPr>
            </w:pPr>
            <w:r>
              <w:rPr>
                <w:sz w:val="24"/>
              </w:rPr>
              <w:t>组</w:t>
            </w:r>
          </w:p>
        </w:tc>
        <w:tc>
          <w:tcPr>
            <w:tcW w:w="895" w:type="dxa"/>
            <w:tcBorders>
              <w:right w:val="single" w:sz="6" w:space="0" w:color="000000"/>
            </w:tcBorders>
          </w:tcPr>
          <w:p>
            <w:pPr>
              <w:pStyle w:val="TableParagraph"/>
              <w:jc w:val="left"/>
              <w:rPr>
                <w:rFonts w:ascii="Times New Roman"/>
                <w:sz w:val="26"/>
              </w:rPr>
            </w:pPr>
          </w:p>
        </w:tc>
        <w:tc>
          <w:tcPr>
            <w:tcW w:w="396" w:type="dxa"/>
            <w:tcBorders>
              <w:left w:val="single" w:sz="6" w:space="0" w:color="000000"/>
              <w:right w:val="single" w:sz="6" w:space="0" w:color="000000"/>
            </w:tcBorders>
          </w:tcPr>
          <w:p>
            <w:pPr>
              <w:pStyle w:val="TableParagraph"/>
              <w:spacing w:before="15"/>
              <w:ind w:left="14"/>
              <w:rPr>
                <w:sz w:val="24"/>
              </w:rPr>
            </w:pPr>
            <w:r>
              <w:rPr>
                <w:sz w:val="24"/>
              </w:rPr>
              <w:t>组</w:t>
            </w:r>
          </w:p>
        </w:tc>
        <w:tc>
          <w:tcPr>
            <w:tcW w:w="694" w:type="dxa"/>
            <w:tcBorders>
              <w:left w:val="single" w:sz="6" w:space="0" w:color="000000"/>
              <w:right w:val="single" w:sz="6" w:space="0" w:color="000000"/>
            </w:tcBorders>
          </w:tcPr>
          <w:p>
            <w:pPr>
              <w:pStyle w:val="TableParagraph"/>
              <w:jc w:val="left"/>
              <w:rPr>
                <w:rFonts w:ascii="Times New Roman"/>
                <w:sz w:val="26"/>
              </w:rPr>
            </w:pPr>
          </w:p>
        </w:tc>
        <w:tc>
          <w:tcPr>
            <w:tcW w:w="396" w:type="dxa"/>
            <w:tcBorders>
              <w:left w:val="single" w:sz="6" w:space="0" w:color="000000"/>
              <w:right w:val="single" w:sz="6" w:space="0" w:color="000000"/>
            </w:tcBorders>
          </w:tcPr>
          <w:p>
            <w:pPr>
              <w:pStyle w:val="TableParagraph"/>
              <w:spacing w:before="15"/>
              <w:ind w:left="18"/>
              <w:rPr>
                <w:sz w:val="24"/>
              </w:rPr>
            </w:pPr>
            <w:r>
              <w:rPr>
                <w:sz w:val="24"/>
              </w:rPr>
              <w:t>组</w:t>
            </w:r>
          </w:p>
        </w:tc>
      </w:tr>
    </w:tbl>
    <w:p>
      <w:pPr>
        <w:pStyle w:val="BodyText"/>
        <w:rPr>
          <w:sz w:val="20"/>
        </w:rPr>
      </w:pPr>
    </w:p>
    <w:p>
      <w:pPr>
        <w:pStyle w:val="BodyText"/>
        <w:rPr>
          <w:sz w:val="20"/>
        </w:rPr>
      </w:pPr>
    </w:p>
    <w:p>
      <w:pPr>
        <w:spacing w:before="196"/>
        <w:ind w:left="510" w:right="0" w:firstLine="0"/>
        <w:jc w:val="center"/>
        <w:rPr>
          <w:b/>
          <w:sz w:val="28"/>
        </w:rPr>
      </w:pPr>
      <w:r>
        <w:rPr/>
        <w:pict>
          <v:rect style="position:absolute;margin-left:192pt;margin-top:-128.357376pt;width:19.8pt;height:98.999998pt;mso-position-horizontal-relative:page;mso-position-vertical-relative:paragraph;z-index:-260828160" filled="false" stroked="true" strokeweight=".72pt" strokecolor="#000000">
            <v:stroke dashstyle="solid"/>
            <w10:wrap type="none"/>
          </v:rect>
        </w:pict>
      </w:r>
      <w:r>
        <w:rPr/>
        <w:pict>
          <v:rect style="position:absolute;margin-left:336.600006pt;margin-top:-128.357376pt;width:19.68pt;height:98.999998pt;mso-position-horizontal-relative:page;mso-position-vertical-relative:paragraph;z-index:-260827136" filled="false" stroked="true" strokeweight=".72pt" strokecolor="#000000">
            <v:stroke dashstyle="solid"/>
            <w10:wrap type="none"/>
          </v:rect>
        </w:pict>
      </w:r>
      <w:r>
        <w:rPr>
          <w:b/>
          <w:sz w:val="28"/>
        </w:rPr>
        <w:t>应 急 组 织 机 构 图</w:t>
      </w:r>
    </w:p>
    <w:p>
      <w:pPr>
        <w:pStyle w:val="BodyText"/>
        <w:rPr>
          <w:b/>
          <w:sz w:val="20"/>
        </w:rPr>
      </w:pPr>
    </w:p>
    <w:p>
      <w:pPr>
        <w:pStyle w:val="ListParagraph"/>
        <w:numPr>
          <w:ilvl w:val="1"/>
          <w:numId w:val="9"/>
        </w:numPr>
        <w:tabs>
          <w:tab w:pos="1306" w:val="left" w:leader="none"/>
        </w:tabs>
        <w:spacing w:line="240" w:lineRule="auto" w:before="239" w:after="0"/>
        <w:ind w:left="1305" w:right="0" w:hanging="565"/>
        <w:jc w:val="left"/>
        <w:rPr>
          <w:b/>
          <w:sz w:val="28"/>
        </w:rPr>
      </w:pPr>
      <w:bookmarkStart w:name="_TOC_250043" w:id="25"/>
      <w:bookmarkEnd w:id="25"/>
      <w:r>
        <w:rPr>
          <w:b/>
          <w:sz w:val="28"/>
        </w:rPr>
        <w:t>指挥机构及职责</w:t>
      </w:r>
    </w:p>
    <w:p>
      <w:pPr>
        <w:pStyle w:val="ListParagraph"/>
        <w:numPr>
          <w:ilvl w:val="2"/>
          <w:numId w:val="9"/>
        </w:numPr>
        <w:tabs>
          <w:tab w:pos="1870" w:val="left" w:leader="none"/>
        </w:tabs>
        <w:spacing w:line="364" w:lineRule="auto" w:before="186" w:after="0"/>
        <w:ind w:left="1300" w:right="5283" w:hanging="279"/>
        <w:jc w:val="left"/>
        <w:rPr>
          <w:sz w:val="28"/>
        </w:rPr>
      </w:pPr>
      <w:r>
        <w:rPr>
          <w:b/>
          <w:spacing w:val="-2"/>
          <w:sz w:val="28"/>
        </w:rPr>
        <w:t>应急处理工作领导小组</w:t>
      </w:r>
      <w:r>
        <w:rPr>
          <w:spacing w:val="-1"/>
          <w:sz w:val="28"/>
        </w:rPr>
        <w:t>组长：吕学府</w:t>
      </w:r>
    </w:p>
    <w:p>
      <w:pPr>
        <w:pStyle w:val="BodyText"/>
        <w:spacing w:line="358" w:lineRule="exact"/>
        <w:ind w:left="1300"/>
      </w:pPr>
      <w:r>
        <w:rPr>
          <w:spacing w:val="-36"/>
          <w:w w:val="100"/>
        </w:rPr>
        <w:t>副组长：</w:t>
      </w:r>
      <w:r>
        <w:rPr>
          <w:spacing w:val="-1"/>
          <w:w w:val="100"/>
        </w:rPr>
        <w:t>（</w:t>
      </w:r>
      <w:r>
        <w:rPr>
          <w:spacing w:val="-3"/>
          <w:w w:val="100"/>
        </w:rPr>
        <w:t>总指挥第一接替人</w:t>
      </w:r>
      <w:r>
        <w:rPr>
          <w:w w:val="100"/>
        </w:rPr>
        <w:t>）</w:t>
      </w:r>
      <w:r>
        <w:rPr>
          <w:spacing w:val="-2"/>
          <w:w w:val="100"/>
        </w:rPr>
        <w:t>李华青</w:t>
      </w:r>
    </w:p>
    <w:p>
      <w:pPr>
        <w:pStyle w:val="BodyText"/>
        <w:tabs>
          <w:tab w:pos="3261" w:val="left" w:leader="none"/>
          <w:tab w:pos="4099" w:val="left" w:leader="none"/>
          <w:tab w:pos="5220" w:val="left" w:leader="none"/>
          <w:tab w:pos="6338" w:val="left" w:leader="none"/>
          <w:tab w:pos="7459" w:val="left" w:leader="none"/>
        </w:tabs>
        <w:spacing w:before="187"/>
        <w:ind w:left="1300"/>
      </w:pPr>
      <w:r>
        <w:rPr/>
        <w:t>成员：</w:t>
      </w:r>
      <w:r>
        <w:rPr>
          <w:spacing w:val="-3"/>
        </w:rPr>
        <w:t>李</w:t>
      </w:r>
      <w:r>
        <w:rPr/>
        <w:t>丰泉</w:t>
        <w:tab/>
      </w:r>
      <w:r>
        <w:rPr>
          <w:spacing w:val="-3"/>
        </w:rPr>
        <w:t>庞</w:t>
      </w:r>
      <w:r>
        <w:rPr/>
        <w:t>鹏</w:t>
        <w:tab/>
        <w:t>李国明</w:t>
        <w:tab/>
        <w:t>朱</w:t>
      </w:r>
      <w:r>
        <w:rPr>
          <w:spacing w:val="-3"/>
        </w:rPr>
        <w:t>爱</w:t>
      </w:r>
      <w:r>
        <w:rPr/>
        <w:t>华</w:t>
        <w:tab/>
        <w:t>邹建锋</w:t>
        <w:tab/>
        <w:t>傅</w:t>
      </w:r>
      <w:r>
        <w:rPr>
          <w:spacing w:val="-3"/>
        </w:rPr>
        <w:t>鹏</w:t>
      </w:r>
      <w:r>
        <w:rPr/>
        <w:t>远</w:t>
      </w:r>
    </w:p>
    <w:p>
      <w:pPr>
        <w:pStyle w:val="ListParagraph"/>
        <w:numPr>
          <w:ilvl w:val="2"/>
          <w:numId w:val="9"/>
        </w:numPr>
        <w:tabs>
          <w:tab w:pos="1798" w:val="left" w:leader="none"/>
        </w:tabs>
        <w:spacing w:line="240" w:lineRule="auto" w:before="186" w:after="0"/>
        <w:ind w:left="1797" w:right="0" w:hanging="776"/>
        <w:jc w:val="left"/>
        <w:rPr>
          <w:b/>
          <w:sz w:val="28"/>
        </w:rPr>
      </w:pPr>
      <w:r>
        <w:rPr>
          <w:b/>
          <w:sz w:val="28"/>
        </w:rPr>
        <w:t>主要职责</w:t>
      </w:r>
    </w:p>
    <w:p>
      <w:pPr>
        <w:spacing w:after="0" w:line="240" w:lineRule="auto"/>
        <w:jc w:val="left"/>
        <w:rPr>
          <w:sz w:val="28"/>
        </w:rPr>
        <w:sectPr>
          <w:pgSz w:w="11910" w:h="16840"/>
          <w:pgMar w:header="0" w:footer="984" w:top="1580" w:bottom="1180" w:left="960" w:right="980"/>
        </w:sectPr>
      </w:pPr>
    </w:p>
    <w:p>
      <w:pPr>
        <w:pStyle w:val="BodyText"/>
        <w:spacing w:line="364" w:lineRule="auto" w:before="102"/>
        <w:ind w:left="741" w:right="576" w:firstLine="699"/>
      </w:pPr>
      <w:r>
        <w:rPr>
          <w:spacing w:val="3"/>
        </w:rPr>
        <w:t>1）</w:t>
      </w:r>
      <w:r>
        <w:rPr/>
        <w:t>应急救援指挥领导小组：负责组织制定应急救援预案；负责人员、资源配置、应急队伍的调动；确定现场指挥人员；协调事故现</w:t>
      </w:r>
      <w:r>
        <w:rPr>
          <w:spacing w:val="-6"/>
        </w:rPr>
        <w:t>场有关工作；批准本预案的启动与终止；事故状态下各级人员的职责； </w:t>
      </w:r>
      <w:r>
        <w:rPr>
          <w:spacing w:val="-8"/>
        </w:rPr>
        <w:t>事故信息的上报工作；接受政府的指令和调动；组织应急预案的演练； </w:t>
      </w:r>
      <w:r>
        <w:rPr>
          <w:spacing w:val="-5"/>
        </w:rPr>
        <w:t>负责保护事故现场及相关数据。</w:t>
      </w:r>
    </w:p>
    <w:p>
      <w:pPr>
        <w:pStyle w:val="ListParagraph"/>
        <w:numPr>
          <w:ilvl w:val="3"/>
          <w:numId w:val="9"/>
        </w:numPr>
        <w:tabs>
          <w:tab w:pos="1722" w:val="left" w:leader="none"/>
        </w:tabs>
        <w:spacing w:line="364" w:lineRule="auto" w:before="0" w:after="0"/>
        <w:ind w:left="741" w:right="716" w:firstLine="559"/>
        <w:jc w:val="both"/>
        <w:rPr>
          <w:sz w:val="28"/>
        </w:rPr>
      </w:pPr>
      <w:r>
        <w:rPr>
          <w:spacing w:val="-5"/>
          <w:sz w:val="28"/>
        </w:rPr>
        <w:t>总指挥：接到报警后，立即组织指挥部成员按各自分工迅速展</w:t>
      </w:r>
      <w:r>
        <w:rPr>
          <w:spacing w:val="-1"/>
          <w:sz w:val="28"/>
        </w:rPr>
        <w:t>开救援工作，调动公司应急人员及员工配合作战，采取一切措施减少</w:t>
      </w:r>
      <w:r>
        <w:rPr>
          <w:sz w:val="28"/>
        </w:rPr>
        <w:t>危害源的扩散，必要时向社会要求协助救援，同时将事故情况，逐级上报。</w:t>
      </w:r>
    </w:p>
    <w:p>
      <w:pPr>
        <w:pStyle w:val="ListParagraph"/>
        <w:numPr>
          <w:ilvl w:val="3"/>
          <w:numId w:val="9"/>
        </w:numPr>
        <w:tabs>
          <w:tab w:pos="1722" w:val="left" w:leader="none"/>
        </w:tabs>
        <w:spacing w:line="364" w:lineRule="auto" w:before="0" w:after="0"/>
        <w:ind w:left="741" w:right="579" w:firstLine="559"/>
        <w:jc w:val="left"/>
        <w:rPr>
          <w:sz w:val="28"/>
        </w:rPr>
      </w:pPr>
      <w:r>
        <w:rPr>
          <w:spacing w:val="-5"/>
          <w:sz w:val="28"/>
        </w:rPr>
        <w:t>副总指挥：由安全生产主管担任，总指挥不在时接替总指挥职</w:t>
      </w:r>
      <w:r>
        <w:rPr>
          <w:spacing w:val="-1"/>
          <w:sz w:val="28"/>
        </w:rPr>
        <w:t>责。在总指挥的领导下，立即开展救灾自救工作，调动一切人员、物</w:t>
      </w:r>
      <w:r>
        <w:rPr>
          <w:spacing w:val="-8"/>
          <w:sz w:val="28"/>
        </w:rPr>
        <w:t>资，设立警戒区域、医疗救护，防二次灾害、防环境污染，事故排查、</w:t>
      </w:r>
      <w:r>
        <w:rPr>
          <w:spacing w:val="-2"/>
          <w:sz w:val="28"/>
        </w:rPr>
        <w:t>车辆运输等工作。负责事故处置时生产系统开、停车调度工作；负责</w:t>
      </w:r>
      <w:r>
        <w:rPr>
          <w:sz w:val="28"/>
        </w:rPr>
        <w:t>事故处理中技术方案的监督执行和相应环境保护工作。协助总指挥负</w:t>
      </w:r>
      <w:r>
        <w:rPr>
          <w:spacing w:val="-3"/>
          <w:sz w:val="28"/>
        </w:rPr>
        <w:t>责工程抢险、检修工作的现场指挥。</w:t>
      </w:r>
    </w:p>
    <w:p>
      <w:pPr>
        <w:pStyle w:val="ListParagraph"/>
        <w:numPr>
          <w:ilvl w:val="3"/>
          <w:numId w:val="9"/>
        </w:numPr>
        <w:tabs>
          <w:tab w:pos="1725" w:val="left" w:leader="none"/>
        </w:tabs>
        <w:spacing w:line="364" w:lineRule="auto" w:before="0" w:after="0"/>
        <w:ind w:left="741" w:right="716" w:firstLine="559"/>
        <w:jc w:val="both"/>
        <w:rPr>
          <w:sz w:val="28"/>
        </w:rPr>
      </w:pPr>
      <w:r>
        <w:rPr>
          <w:spacing w:val="-6"/>
          <w:sz w:val="28"/>
        </w:rPr>
        <w:t>指挥小组成员：正常情况下在各自的工作范围内积极开展救援</w:t>
      </w:r>
      <w:r>
        <w:rPr>
          <w:sz w:val="28"/>
        </w:rPr>
        <w:t>技术岗位练兵，充分做好一切救援物资、防护用品、医疗器械、急救药品、车辆维护、治安消防、报警通讯等准备工作，同时加强管理， 搞好安全生产工作，在发生事故时，要立即组织控制危害源与自救， 同时按指挥部要求进行协同作战，尽最大可能减少事故损失、人员伤</w:t>
      </w:r>
      <w:r>
        <w:rPr>
          <w:spacing w:val="-3"/>
          <w:sz w:val="28"/>
        </w:rPr>
        <w:t>亡和环境污染程度。</w:t>
      </w:r>
    </w:p>
    <w:p>
      <w:pPr>
        <w:pStyle w:val="ListParagraph"/>
        <w:numPr>
          <w:ilvl w:val="2"/>
          <w:numId w:val="9"/>
        </w:numPr>
        <w:tabs>
          <w:tab w:pos="1870" w:val="left" w:leader="none"/>
        </w:tabs>
        <w:spacing w:line="356" w:lineRule="exact" w:before="0" w:after="0"/>
        <w:ind w:left="1869" w:right="0" w:hanging="848"/>
        <w:jc w:val="both"/>
        <w:rPr>
          <w:b/>
          <w:sz w:val="28"/>
        </w:rPr>
      </w:pPr>
      <w:r>
        <w:rPr>
          <w:b/>
          <w:sz w:val="28"/>
        </w:rPr>
        <w:t>各救援队伍职责</w:t>
      </w:r>
    </w:p>
    <w:p>
      <w:pPr>
        <w:pStyle w:val="BodyText"/>
        <w:spacing w:before="176"/>
        <w:ind w:left="1303"/>
      </w:pPr>
      <w:r>
        <w:rPr/>
        <w:t>1、消防灭火组：由生产车间负责组建</w:t>
      </w:r>
    </w:p>
    <w:p>
      <w:pPr>
        <w:pStyle w:val="ListParagraph"/>
        <w:numPr>
          <w:ilvl w:val="0"/>
          <w:numId w:val="20"/>
        </w:numPr>
        <w:tabs>
          <w:tab w:pos="1873" w:val="left" w:leader="none"/>
        </w:tabs>
        <w:spacing w:line="364" w:lineRule="auto" w:before="186" w:after="0"/>
        <w:ind w:left="741" w:right="716" w:firstLine="700"/>
        <w:jc w:val="left"/>
        <w:rPr>
          <w:sz w:val="28"/>
        </w:rPr>
      </w:pPr>
      <w:r>
        <w:rPr>
          <w:sz w:val="28"/>
        </w:rPr>
        <w:t>接到通知后，迅速集合队伍奔赴事故现场，根据事故情形正确配戴个人防护用具，协助事故发生单位迅速切断事故源和排除现场</w:t>
      </w:r>
    </w:p>
    <w:p>
      <w:pPr>
        <w:spacing w:after="0" w:line="364" w:lineRule="auto"/>
        <w:jc w:val="left"/>
        <w:rPr>
          <w:sz w:val="28"/>
        </w:rPr>
        <w:sectPr>
          <w:pgSz w:w="11910" w:h="16840"/>
          <w:pgMar w:header="0" w:footer="984" w:top="1580" w:bottom="1180" w:left="960" w:right="980"/>
        </w:sectPr>
      </w:pPr>
    </w:p>
    <w:p>
      <w:pPr>
        <w:pStyle w:val="BodyText"/>
        <w:spacing w:before="102"/>
        <w:ind w:left="741"/>
      </w:pPr>
      <w:r>
        <w:rPr/>
        <w:t>的易燃易爆物质；</w:t>
      </w:r>
    </w:p>
    <w:p>
      <w:pPr>
        <w:pStyle w:val="ListParagraph"/>
        <w:numPr>
          <w:ilvl w:val="0"/>
          <w:numId w:val="20"/>
        </w:numPr>
        <w:tabs>
          <w:tab w:pos="1873" w:val="left" w:leader="none"/>
        </w:tabs>
        <w:spacing w:line="364" w:lineRule="auto" w:before="186" w:after="0"/>
        <w:ind w:left="741" w:right="716" w:firstLine="700"/>
        <w:jc w:val="left"/>
        <w:rPr>
          <w:sz w:val="28"/>
        </w:rPr>
      </w:pPr>
      <w:r>
        <w:rPr>
          <w:sz w:val="28"/>
        </w:rPr>
        <w:t>根据指挥部下达的指令，查明有无中毒人员及操作者被困， </w:t>
      </w:r>
      <w:r>
        <w:rPr>
          <w:spacing w:val="-3"/>
          <w:sz w:val="28"/>
        </w:rPr>
        <w:t>及时使严重中毒者、被困者脱离危险区域；</w:t>
      </w:r>
    </w:p>
    <w:p>
      <w:pPr>
        <w:pStyle w:val="ListParagraph"/>
        <w:numPr>
          <w:ilvl w:val="0"/>
          <w:numId w:val="20"/>
        </w:numPr>
        <w:tabs>
          <w:tab w:pos="1873" w:val="left" w:leader="none"/>
        </w:tabs>
        <w:spacing w:line="364" w:lineRule="auto" w:before="0" w:after="0"/>
        <w:ind w:left="741" w:right="716" w:firstLine="700"/>
        <w:jc w:val="left"/>
        <w:rPr>
          <w:sz w:val="28"/>
        </w:rPr>
      </w:pPr>
      <w:r>
        <w:rPr>
          <w:sz w:val="28"/>
        </w:rPr>
        <w:t>现场指导抢救人员，消险危险物品，开启现场固定消防装置</w:t>
      </w:r>
      <w:r>
        <w:rPr>
          <w:spacing w:val="-1"/>
          <w:sz w:val="28"/>
        </w:rPr>
        <w:t>进行灭火；</w:t>
      </w:r>
    </w:p>
    <w:p>
      <w:pPr>
        <w:pStyle w:val="ListParagraph"/>
        <w:numPr>
          <w:ilvl w:val="0"/>
          <w:numId w:val="20"/>
        </w:numPr>
        <w:tabs>
          <w:tab w:pos="1873" w:val="left" w:leader="none"/>
        </w:tabs>
        <w:spacing w:line="364" w:lineRule="auto" w:before="0" w:after="0"/>
        <w:ind w:left="741" w:right="716" w:firstLine="700"/>
        <w:jc w:val="both"/>
        <w:rPr>
          <w:sz w:val="28"/>
        </w:rPr>
      </w:pPr>
      <w:r>
        <w:rPr>
          <w:sz w:val="28"/>
        </w:rPr>
        <w:t>熟悉全公司化学物品的种类、性质，了解公司重点防护目标及应急方案和工艺流程，负责向上级消防救援力量提供燃烧介质的消</w:t>
      </w:r>
      <w:r>
        <w:rPr>
          <w:spacing w:val="-3"/>
          <w:sz w:val="28"/>
        </w:rPr>
        <w:t>防特性，中毒防护方法，着火设备的禁忌注意事项。</w:t>
      </w:r>
    </w:p>
    <w:p>
      <w:pPr>
        <w:pStyle w:val="ListParagraph"/>
        <w:numPr>
          <w:ilvl w:val="0"/>
          <w:numId w:val="20"/>
        </w:numPr>
        <w:tabs>
          <w:tab w:pos="1870" w:val="left" w:leader="none"/>
        </w:tabs>
        <w:spacing w:line="364" w:lineRule="auto" w:before="0" w:after="0"/>
        <w:ind w:left="741" w:right="716" w:firstLine="699"/>
        <w:jc w:val="left"/>
        <w:rPr>
          <w:sz w:val="28"/>
        </w:rPr>
      </w:pPr>
      <w:r>
        <w:rPr>
          <w:sz w:val="28"/>
        </w:rPr>
        <w:t>负责灭火、抢险后事故现场的洗消去污，泄漏物防化、防毒处理；</w:t>
      </w:r>
    </w:p>
    <w:p>
      <w:pPr>
        <w:pStyle w:val="ListParagraph"/>
        <w:numPr>
          <w:ilvl w:val="0"/>
          <w:numId w:val="20"/>
        </w:numPr>
        <w:tabs>
          <w:tab w:pos="1864" w:val="left" w:leader="none"/>
        </w:tabs>
        <w:spacing w:line="364" w:lineRule="auto" w:before="0" w:after="0"/>
        <w:ind w:left="741" w:right="574" w:firstLine="700"/>
        <w:jc w:val="left"/>
        <w:rPr>
          <w:sz w:val="28"/>
        </w:rPr>
      </w:pPr>
      <w:r>
        <w:rPr>
          <w:spacing w:val="-5"/>
          <w:sz w:val="28"/>
        </w:rPr>
        <w:t>负责与上级环保部门、安监部门、消防部门联系，搞好协作。</w:t>
      </w:r>
      <w:r>
        <w:rPr>
          <w:spacing w:val="-4"/>
          <w:sz w:val="28"/>
        </w:rPr>
        <w:t>保护事故现场及相关数据，等待事故调查人员取证。</w:t>
      </w:r>
    </w:p>
    <w:p>
      <w:pPr>
        <w:pStyle w:val="BodyText"/>
        <w:spacing w:line="358" w:lineRule="exact"/>
        <w:ind w:left="1022"/>
      </w:pPr>
      <w:r>
        <w:rPr/>
        <w:t>2、安全警戒组职责：由保卫科负责组建</w:t>
      </w:r>
    </w:p>
    <w:p>
      <w:pPr>
        <w:pStyle w:val="ListParagraph"/>
        <w:numPr>
          <w:ilvl w:val="0"/>
          <w:numId w:val="21"/>
        </w:numPr>
        <w:tabs>
          <w:tab w:pos="1722" w:val="left" w:leader="none"/>
        </w:tabs>
        <w:spacing w:line="364" w:lineRule="auto" w:before="179" w:after="0"/>
        <w:ind w:left="741" w:right="680" w:firstLine="559"/>
        <w:jc w:val="left"/>
        <w:rPr>
          <w:sz w:val="28"/>
        </w:rPr>
      </w:pPr>
      <w:r>
        <w:rPr>
          <w:spacing w:val="-3"/>
          <w:sz w:val="28"/>
        </w:rPr>
        <w:t>发生事故后，门卫人员根据影响范围，设置禁区，布置岗哨， 加强警戒，巡逻检查，严禁无关人员进入禁区；</w:t>
      </w:r>
    </w:p>
    <w:p>
      <w:pPr>
        <w:pStyle w:val="ListParagraph"/>
        <w:numPr>
          <w:ilvl w:val="0"/>
          <w:numId w:val="21"/>
        </w:numPr>
        <w:tabs>
          <w:tab w:pos="1722" w:val="left" w:leader="none"/>
        </w:tabs>
        <w:spacing w:line="364" w:lineRule="auto" w:before="0" w:after="0"/>
        <w:ind w:left="741" w:right="716" w:firstLine="559"/>
        <w:jc w:val="left"/>
        <w:rPr>
          <w:sz w:val="28"/>
        </w:rPr>
      </w:pPr>
      <w:r>
        <w:rPr>
          <w:spacing w:val="-6"/>
          <w:sz w:val="28"/>
        </w:rPr>
        <w:t>接到报警后，封闭厂区大门，维持厂区道路交通程序，引导外</w:t>
      </w:r>
      <w:r>
        <w:rPr>
          <w:spacing w:val="-3"/>
          <w:sz w:val="28"/>
        </w:rPr>
        <w:t>来救援力量进入事故发生点，严禁外来人员入厂围观；</w:t>
      </w:r>
    </w:p>
    <w:p>
      <w:pPr>
        <w:pStyle w:val="ListParagraph"/>
        <w:numPr>
          <w:ilvl w:val="0"/>
          <w:numId w:val="21"/>
        </w:numPr>
        <w:tabs>
          <w:tab w:pos="1722" w:val="left" w:leader="none"/>
        </w:tabs>
        <w:spacing w:line="358" w:lineRule="exact" w:before="0" w:after="0"/>
        <w:ind w:left="1721" w:right="0" w:hanging="422"/>
        <w:jc w:val="left"/>
        <w:rPr>
          <w:sz w:val="28"/>
        </w:rPr>
      </w:pPr>
      <w:r>
        <w:rPr>
          <w:spacing w:val="-3"/>
          <w:sz w:val="28"/>
        </w:rPr>
        <w:t>门卫到事故发生区域封路，指挥抢救车辆行驶路线。</w:t>
      </w:r>
    </w:p>
    <w:p>
      <w:pPr>
        <w:pStyle w:val="ListParagraph"/>
        <w:numPr>
          <w:ilvl w:val="0"/>
          <w:numId w:val="21"/>
        </w:numPr>
        <w:tabs>
          <w:tab w:pos="1729" w:val="left" w:leader="none"/>
        </w:tabs>
        <w:spacing w:line="364" w:lineRule="auto" w:before="185" w:after="0"/>
        <w:ind w:left="741" w:right="713" w:firstLine="559"/>
        <w:jc w:val="left"/>
        <w:rPr>
          <w:sz w:val="28"/>
        </w:rPr>
      </w:pPr>
      <w:r>
        <w:rPr>
          <w:spacing w:val="2"/>
          <w:w w:val="100"/>
          <w:sz w:val="28"/>
        </w:rPr>
        <w:t>办公室人员负责公众疏散（包括厂内人员和厂外周边人员</w:t>
      </w:r>
      <w:r>
        <w:rPr>
          <w:spacing w:val="-137"/>
          <w:w w:val="100"/>
          <w:sz w:val="28"/>
        </w:rPr>
        <w:t>）</w:t>
      </w:r>
      <w:r>
        <w:rPr>
          <w:w w:val="100"/>
          <w:sz w:val="28"/>
        </w:rPr>
        <w:t>，</w:t>
      </w:r>
      <w:r>
        <w:rPr>
          <w:spacing w:val="-3"/>
          <w:sz w:val="28"/>
        </w:rPr>
        <w:t>引导消防人员或医护人员进入事故现场。</w:t>
      </w:r>
    </w:p>
    <w:p>
      <w:pPr>
        <w:pStyle w:val="ListParagraph"/>
        <w:numPr>
          <w:ilvl w:val="0"/>
          <w:numId w:val="21"/>
        </w:numPr>
        <w:tabs>
          <w:tab w:pos="1722" w:val="left" w:leader="none"/>
        </w:tabs>
        <w:spacing w:line="364" w:lineRule="auto" w:before="0" w:after="0"/>
        <w:ind w:left="741" w:right="576" w:firstLine="559"/>
        <w:jc w:val="left"/>
        <w:rPr>
          <w:sz w:val="28"/>
        </w:rPr>
      </w:pPr>
      <w:r>
        <w:rPr>
          <w:spacing w:val="-5"/>
          <w:sz w:val="28"/>
        </w:rPr>
        <w:t>办公室人员接到报警后，立即采取措施中断一般外线电话，确</w:t>
      </w:r>
      <w:r>
        <w:rPr>
          <w:spacing w:val="-7"/>
          <w:sz w:val="28"/>
        </w:rPr>
        <w:t>保事故处理外线畅通，应急指挥部处理事故所用电话迅速、准备无误。</w:t>
      </w:r>
    </w:p>
    <w:p>
      <w:pPr>
        <w:pStyle w:val="ListParagraph"/>
        <w:numPr>
          <w:ilvl w:val="0"/>
          <w:numId w:val="21"/>
        </w:numPr>
        <w:tabs>
          <w:tab w:pos="1722" w:val="left" w:leader="none"/>
        </w:tabs>
        <w:spacing w:line="364" w:lineRule="auto" w:before="0" w:after="0"/>
        <w:ind w:left="741" w:right="716" w:firstLine="559"/>
        <w:jc w:val="left"/>
        <w:rPr>
          <w:sz w:val="28"/>
        </w:rPr>
      </w:pPr>
      <w:r>
        <w:rPr>
          <w:spacing w:val="-5"/>
          <w:sz w:val="28"/>
        </w:rPr>
        <w:t>迅速通知应急指挥部、各救援专业队及有关部门，查明事故原</w:t>
      </w:r>
      <w:r>
        <w:rPr>
          <w:spacing w:val="-4"/>
          <w:sz w:val="28"/>
        </w:rPr>
        <w:t>因，采取紧急措施，防止事故扩大，传达应急预案处置的指令；</w:t>
      </w:r>
    </w:p>
    <w:p>
      <w:pPr>
        <w:pStyle w:val="ListParagraph"/>
        <w:numPr>
          <w:ilvl w:val="0"/>
          <w:numId w:val="21"/>
        </w:numPr>
        <w:tabs>
          <w:tab w:pos="1722" w:val="left" w:leader="none"/>
        </w:tabs>
        <w:spacing w:line="358" w:lineRule="exact" w:before="0" w:after="0"/>
        <w:ind w:left="1721" w:right="0" w:hanging="422"/>
        <w:jc w:val="left"/>
        <w:rPr>
          <w:sz w:val="28"/>
        </w:rPr>
      </w:pPr>
      <w:r>
        <w:rPr>
          <w:spacing w:val="-3"/>
          <w:sz w:val="28"/>
        </w:rPr>
        <w:t>接受指挥部指令对外信息发布。</w:t>
      </w:r>
    </w:p>
    <w:p>
      <w:pPr>
        <w:spacing w:after="0" w:line="358" w:lineRule="exact"/>
        <w:jc w:val="left"/>
        <w:rPr>
          <w:sz w:val="28"/>
        </w:rPr>
        <w:sectPr>
          <w:pgSz w:w="11910" w:h="16840"/>
          <w:pgMar w:header="0" w:footer="984" w:top="1580" w:bottom="1180" w:left="960" w:right="980"/>
        </w:sectPr>
      </w:pPr>
    </w:p>
    <w:p>
      <w:pPr>
        <w:pStyle w:val="BodyText"/>
        <w:spacing w:before="102"/>
        <w:ind w:left="1022"/>
      </w:pPr>
      <w:r>
        <w:rPr/>
        <w:t>3、医疗救护组职责：由办公室负责组建</w:t>
      </w:r>
    </w:p>
    <w:p>
      <w:pPr>
        <w:pStyle w:val="ListParagraph"/>
        <w:numPr>
          <w:ilvl w:val="0"/>
          <w:numId w:val="22"/>
        </w:numPr>
        <w:tabs>
          <w:tab w:pos="1741" w:val="left" w:leader="none"/>
        </w:tabs>
        <w:spacing w:line="364" w:lineRule="auto" w:before="186" w:after="0"/>
        <w:ind w:left="1022" w:right="713" w:firstLine="278"/>
        <w:jc w:val="left"/>
        <w:rPr>
          <w:sz w:val="28"/>
        </w:rPr>
      </w:pPr>
      <w:r>
        <w:rPr>
          <w:spacing w:val="6"/>
          <w:sz w:val="28"/>
        </w:rPr>
        <w:t>熟悉厂区内危险物质对人体危害的特性及相应的医疗急救措</w:t>
      </w:r>
      <w:r>
        <w:rPr>
          <w:spacing w:val="-2"/>
          <w:sz w:val="28"/>
        </w:rPr>
        <w:t>施；指导现场人员自救、互救；</w:t>
      </w:r>
    </w:p>
    <w:p>
      <w:pPr>
        <w:pStyle w:val="ListParagraph"/>
        <w:numPr>
          <w:ilvl w:val="0"/>
          <w:numId w:val="22"/>
        </w:numPr>
        <w:tabs>
          <w:tab w:pos="1722" w:val="left" w:leader="none"/>
        </w:tabs>
        <w:spacing w:line="364" w:lineRule="auto" w:before="0" w:after="0"/>
        <w:ind w:left="741" w:right="576" w:firstLine="559"/>
        <w:jc w:val="left"/>
        <w:rPr>
          <w:sz w:val="28"/>
        </w:rPr>
      </w:pPr>
      <w:r>
        <w:rPr>
          <w:spacing w:val="-5"/>
          <w:sz w:val="28"/>
        </w:rPr>
        <w:t>事故发生后，应迅速做好准备工作，伤者送来后，根据受伤症</w:t>
      </w:r>
      <w:r>
        <w:rPr>
          <w:spacing w:val="-7"/>
          <w:sz w:val="28"/>
        </w:rPr>
        <w:t>状，及时采取相应的急救措施对伤者进行急救，重伤员及时转院抢救；</w:t>
      </w:r>
    </w:p>
    <w:p>
      <w:pPr>
        <w:pStyle w:val="ListParagraph"/>
        <w:numPr>
          <w:ilvl w:val="0"/>
          <w:numId w:val="22"/>
        </w:numPr>
        <w:tabs>
          <w:tab w:pos="1722" w:val="left" w:leader="none"/>
        </w:tabs>
        <w:spacing w:line="358" w:lineRule="exact" w:before="0" w:after="0"/>
        <w:ind w:left="1721" w:right="0" w:hanging="422"/>
        <w:jc w:val="left"/>
        <w:rPr>
          <w:sz w:val="28"/>
        </w:rPr>
      </w:pPr>
      <w:r>
        <w:rPr>
          <w:spacing w:val="-3"/>
          <w:sz w:val="28"/>
        </w:rPr>
        <w:t>储备足量的急救器材和药品，并能随时取用；</w:t>
      </w:r>
    </w:p>
    <w:p>
      <w:pPr>
        <w:pStyle w:val="ListParagraph"/>
        <w:numPr>
          <w:ilvl w:val="0"/>
          <w:numId w:val="22"/>
        </w:numPr>
        <w:tabs>
          <w:tab w:pos="1722" w:val="left" w:leader="none"/>
        </w:tabs>
        <w:spacing w:line="240" w:lineRule="auto" w:before="183" w:after="0"/>
        <w:ind w:left="1721" w:right="0" w:hanging="422"/>
        <w:jc w:val="left"/>
        <w:rPr>
          <w:sz w:val="28"/>
        </w:rPr>
      </w:pPr>
      <w:r>
        <w:rPr>
          <w:spacing w:val="-3"/>
          <w:sz w:val="28"/>
        </w:rPr>
        <w:t>当厂区急救力量无法满足需要时，向其他医疗单位申请救援。</w:t>
      </w:r>
    </w:p>
    <w:p>
      <w:pPr>
        <w:pStyle w:val="BodyText"/>
        <w:spacing w:before="186"/>
        <w:ind w:left="1022"/>
      </w:pPr>
      <w:r>
        <w:rPr/>
        <w:t>4、后勤保障组职责：由办公室负责组建</w:t>
      </w:r>
    </w:p>
    <w:p>
      <w:pPr>
        <w:pStyle w:val="ListParagraph"/>
        <w:numPr>
          <w:ilvl w:val="0"/>
          <w:numId w:val="23"/>
        </w:numPr>
        <w:tabs>
          <w:tab w:pos="1722" w:val="left" w:leader="none"/>
        </w:tabs>
        <w:spacing w:line="364" w:lineRule="auto" w:before="186" w:after="0"/>
        <w:ind w:left="741" w:right="716" w:firstLine="559"/>
        <w:jc w:val="left"/>
        <w:rPr>
          <w:sz w:val="28"/>
        </w:rPr>
      </w:pPr>
      <w:r>
        <w:rPr>
          <w:spacing w:val="-4"/>
          <w:sz w:val="28"/>
        </w:rPr>
        <w:t>接到报警后，根据现场实际需要，准备抢险抢救物质及设备等工具；</w:t>
      </w:r>
    </w:p>
    <w:p>
      <w:pPr>
        <w:pStyle w:val="ListParagraph"/>
        <w:numPr>
          <w:ilvl w:val="0"/>
          <w:numId w:val="23"/>
        </w:numPr>
        <w:tabs>
          <w:tab w:pos="1722" w:val="left" w:leader="none"/>
        </w:tabs>
        <w:spacing w:line="358" w:lineRule="exact" w:before="0" w:after="0"/>
        <w:ind w:left="1721" w:right="0" w:hanging="422"/>
        <w:jc w:val="left"/>
        <w:rPr>
          <w:sz w:val="28"/>
        </w:rPr>
      </w:pPr>
      <w:r>
        <w:rPr>
          <w:spacing w:val="-3"/>
          <w:sz w:val="28"/>
        </w:rPr>
        <w:t>根据事故部位情况，及时准确地提供相应物资及备件；</w:t>
      </w:r>
    </w:p>
    <w:p>
      <w:pPr>
        <w:pStyle w:val="ListParagraph"/>
        <w:numPr>
          <w:ilvl w:val="0"/>
          <w:numId w:val="23"/>
        </w:numPr>
        <w:tabs>
          <w:tab w:pos="1722" w:val="left" w:leader="none"/>
        </w:tabs>
        <w:spacing w:line="240" w:lineRule="auto" w:before="186" w:after="0"/>
        <w:ind w:left="1721" w:right="0" w:hanging="422"/>
        <w:jc w:val="left"/>
        <w:rPr>
          <w:sz w:val="28"/>
        </w:rPr>
      </w:pPr>
      <w:r>
        <w:rPr>
          <w:spacing w:val="-13"/>
          <w:sz w:val="28"/>
        </w:rPr>
        <w:t>根据事故的程度，及时向外单位联系，调剂物资、工程器具等；</w:t>
      </w:r>
    </w:p>
    <w:p>
      <w:pPr>
        <w:pStyle w:val="ListParagraph"/>
        <w:numPr>
          <w:ilvl w:val="0"/>
          <w:numId w:val="23"/>
        </w:numPr>
        <w:tabs>
          <w:tab w:pos="1722" w:val="left" w:leader="none"/>
        </w:tabs>
        <w:spacing w:line="240" w:lineRule="auto" w:before="186" w:after="0"/>
        <w:ind w:left="1721" w:right="0" w:hanging="422"/>
        <w:jc w:val="left"/>
        <w:rPr>
          <w:sz w:val="28"/>
        </w:rPr>
      </w:pPr>
      <w:r>
        <w:rPr>
          <w:spacing w:val="-3"/>
          <w:sz w:val="28"/>
        </w:rPr>
        <w:t>负责抢险救援物质的运输。</w:t>
      </w:r>
    </w:p>
    <w:p>
      <w:pPr>
        <w:pStyle w:val="BodyText"/>
        <w:spacing w:before="186"/>
        <w:ind w:left="1300"/>
      </w:pPr>
      <w:r>
        <w:rPr/>
        <w:t>5、抢险抢修组</w:t>
      </w:r>
    </w:p>
    <w:p>
      <w:pPr>
        <w:pStyle w:val="ListParagraph"/>
        <w:numPr>
          <w:ilvl w:val="0"/>
          <w:numId w:val="24"/>
        </w:numPr>
        <w:tabs>
          <w:tab w:pos="1722" w:val="left" w:leader="none"/>
        </w:tabs>
        <w:spacing w:line="240" w:lineRule="auto" w:before="186" w:after="0"/>
        <w:ind w:left="1721" w:right="0" w:hanging="422"/>
        <w:jc w:val="left"/>
        <w:rPr>
          <w:sz w:val="28"/>
        </w:rPr>
      </w:pPr>
      <w:r>
        <w:rPr>
          <w:spacing w:val="-3"/>
          <w:sz w:val="28"/>
        </w:rPr>
        <w:t>事故初控、事故现场的警戒控制担负抢险抢修任务；</w:t>
      </w:r>
    </w:p>
    <w:p>
      <w:pPr>
        <w:pStyle w:val="ListParagraph"/>
        <w:numPr>
          <w:ilvl w:val="0"/>
          <w:numId w:val="24"/>
        </w:numPr>
        <w:tabs>
          <w:tab w:pos="1722" w:val="left" w:leader="none"/>
        </w:tabs>
        <w:spacing w:line="240" w:lineRule="auto" w:before="186" w:after="0"/>
        <w:ind w:left="1721" w:right="0" w:hanging="422"/>
        <w:jc w:val="left"/>
        <w:rPr>
          <w:sz w:val="28"/>
        </w:rPr>
      </w:pPr>
      <w:r>
        <w:rPr>
          <w:spacing w:val="-3"/>
          <w:sz w:val="28"/>
        </w:rPr>
        <w:t>执行现场抢险作业的各项工作；</w:t>
      </w:r>
    </w:p>
    <w:p>
      <w:pPr>
        <w:pStyle w:val="ListParagraph"/>
        <w:numPr>
          <w:ilvl w:val="0"/>
          <w:numId w:val="24"/>
        </w:numPr>
        <w:tabs>
          <w:tab w:pos="1722" w:val="left" w:leader="none"/>
        </w:tabs>
        <w:spacing w:line="240" w:lineRule="auto" w:before="186" w:after="0"/>
        <w:ind w:left="1721" w:right="0" w:hanging="422"/>
        <w:jc w:val="left"/>
        <w:rPr>
          <w:sz w:val="28"/>
        </w:rPr>
      </w:pPr>
      <w:r>
        <w:rPr>
          <w:spacing w:val="-3"/>
          <w:sz w:val="28"/>
        </w:rPr>
        <w:t>紧急停车调度，具体操作；</w:t>
      </w:r>
    </w:p>
    <w:p>
      <w:pPr>
        <w:pStyle w:val="ListParagraph"/>
        <w:numPr>
          <w:ilvl w:val="0"/>
          <w:numId w:val="24"/>
        </w:numPr>
        <w:tabs>
          <w:tab w:pos="1722" w:val="left" w:leader="none"/>
        </w:tabs>
        <w:spacing w:line="240" w:lineRule="auto" w:before="186" w:after="0"/>
        <w:ind w:left="1721" w:right="0" w:hanging="422"/>
        <w:jc w:val="left"/>
        <w:rPr>
          <w:sz w:val="28"/>
        </w:rPr>
      </w:pPr>
      <w:r>
        <w:rPr>
          <w:spacing w:val="-3"/>
          <w:sz w:val="28"/>
        </w:rPr>
        <w:t>向指挥部提供必要的运行参数，管线阀门的关闭和开启情况。</w:t>
      </w:r>
    </w:p>
    <w:p>
      <w:pPr>
        <w:pStyle w:val="BodyText"/>
        <w:spacing w:before="186"/>
        <w:ind w:left="1300"/>
      </w:pPr>
      <w:r>
        <w:rPr/>
        <w:t>6、后勤保障组</w:t>
      </w:r>
    </w:p>
    <w:p>
      <w:pPr>
        <w:pStyle w:val="ListParagraph"/>
        <w:numPr>
          <w:ilvl w:val="0"/>
          <w:numId w:val="25"/>
        </w:numPr>
        <w:tabs>
          <w:tab w:pos="1722" w:val="left" w:leader="none"/>
        </w:tabs>
        <w:spacing w:line="240" w:lineRule="auto" w:before="186" w:after="0"/>
        <w:ind w:left="1721" w:right="0" w:hanging="422"/>
        <w:jc w:val="left"/>
        <w:rPr>
          <w:sz w:val="28"/>
        </w:rPr>
      </w:pPr>
      <w:r>
        <w:rPr>
          <w:spacing w:val="-3"/>
          <w:sz w:val="28"/>
        </w:rPr>
        <w:t>负责提供现场抢险物资、生活用具、劳动防护用品管理发放；</w:t>
      </w:r>
    </w:p>
    <w:p>
      <w:pPr>
        <w:pStyle w:val="ListParagraph"/>
        <w:numPr>
          <w:ilvl w:val="0"/>
          <w:numId w:val="25"/>
        </w:numPr>
        <w:tabs>
          <w:tab w:pos="1722" w:val="left" w:leader="none"/>
        </w:tabs>
        <w:spacing w:line="240" w:lineRule="auto" w:before="186" w:after="0"/>
        <w:ind w:left="1721" w:right="0" w:hanging="422"/>
        <w:jc w:val="left"/>
        <w:rPr>
          <w:sz w:val="28"/>
        </w:rPr>
      </w:pPr>
      <w:r>
        <w:rPr>
          <w:spacing w:val="-3"/>
          <w:sz w:val="28"/>
        </w:rPr>
        <w:t>负责事故抢险完后物资材料的清查核实工作。</w:t>
      </w:r>
    </w:p>
    <w:p>
      <w:pPr>
        <w:pStyle w:val="BodyText"/>
        <w:spacing w:before="186"/>
        <w:ind w:left="1300"/>
      </w:pPr>
      <w:r>
        <w:rPr/>
        <w:t>7、善后处理组</w:t>
      </w:r>
    </w:p>
    <w:p>
      <w:pPr>
        <w:pStyle w:val="ListParagraph"/>
        <w:numPr>
          <w:ilvl w:val="0"/>
          <w:numId w:val="26"/>
        </w:numPr>
        <w:tabs>
          <w:tab w:pos="1722" w:val="left" w:leader="none"/>
        </w:tabs>
        <w:spacing w:line="364" w:lineRule="auto" w:before="186" w:after="0"/>
        <w:ind w:left="741" w:right="716" w:firstLine="559"/>
        <w:jc w:val="left"/>
        <w:rPr>
          <w:sz w:val="28"/>
        </w:rPr>
      </w:pPr>
      <w:r>
        <w:rPr>
          <w:spacing w:val="-5"/>
          <w:sz w:val="28"/>
        </w:rPr>
        <w:t>收集、整理应急处置过程的有关资料，协助事件调查部门调查</w:t>
      </w:r>
      <w:r>
        <w:rPr>
          <w:spacing w:val="-4"/>
          <w:sz w:val="28"/>
        </w:rPr>
        <w:t>事件原因；</w:t>
      </w:r>
    </w:p>
    <w:p>
      <w:pPr>
        <w:pStyle w:val="ListParagraph"/>
        <w:numPr>
          <w:ilvl w:val="0"/>
          <w:numId w:val="26"/>
        </w:numPr>
        <w:tabs>
          <w:tab w:pos="1722" w:val="left" w:leader="none"/>
        </w:tabs>
        <w:spacing w:line="358" w:lineRule="exact" w:before="0" w:after="0"/>
        <w:ind w:left="1721" w:right="0" w:hanging="422"/>
        <w:jc w:val="left"/>
        <w:rPr>
          <w:sz w:val="28"/>
        </w:rPr>
      </w:pPr>
      <w:r>
        <w:rPr>
          <w:spacing w:val="-3"/>
          <w:sz w:val="28"/>
        </w:rPr>
        <w:t>与有关保险机构联系，做好相关理赔工作；</w:t>
      </w:r>
    </w:p>
    <w:p>
      <w:pPr>
        <w:spacing w:after="0" w:line="358" w:lineRule="exact"/>
        <w:jc w:val="left"/>
        <w:rPr>
          <w:sz w:val="28"/>
        </w:rPr>
        <w:sectPr>
          <w:pgSz w:w="11910" w:h="16840"/>
          <w:pgMar w:header="0" w:footer="984" w:top="1580" w:bottom="1180" w:left="960" w:right="980"/>
        </w:sectPr>
      </w:pPr>
    </w:p>
    <w:p>
      <w:pPr>
        <w:pStyle w:val="ListParagraph"/>
        <w:numPr>
          <w:ilvl w:val="0"/>
          <w:numId w:val="26"/>
        </w:numPr>
        <w:tabs>
          <w:tab w:pos="1722" w:val="left" w:leader="none"/>
        </w:tabs>
        <w:spacing w:line="240" w:lineRule="auto" w:before="102" w:after="0"/>
        <w:ind w:left="1721" w:right="0" w:hanging="422"/>
        <w:jc w:val="left"/>
        <w:rPr>
          <w:sz w:val="28"/>
        </w:rPr>
      </w:pPr>
      <w:r>
        <w:rPr>
          <w:spacing w:val="-3"/>
          <w:sz w:val="28"/>
        </w:rPr>
        <w:t>总结事件经验教训，提出类似事件的防范措施；</w:t>
      </w:r>
    </w:p>
    <w:p>
      <w:pPr>
        <w:pStyle w:val="ListParagraph"/>
        <w:numPr>
          <w:ilvl w:val="0"/>
          <w:numId w:val="26"/>
        </w:numPr>
        <w:tabs>
          <w:tab w:pos="1722" w:val="left" w:leader="none"/>
        </w:tabs>
        <w:spacing w:line="240" w:lineRule="auto" w:before="186" w:after="0"/>
        <w:ind w:left="1721" w:right="0" w:hanging="422"/>
        <w:jc w:val="left"/>
        <w:rPr>
          <w:sz w:val="28"/>
        </w:rPr>
      </w:pPr>
      <w:r>
        <w:rPr>
          <w:spacing w:val="-3"/>
          <w:sz w:val="28"/>
        </w:rPr>
        <w:t>做好相关人员的思想工作，维护公司的稳定。</w:t>
      </w:r>
    </w:p>
    <w:p>
      <w:pPr>
        <w:pStyle w:val="BodyText"/>
        <w:spacing w:before="186"/>
        <w:ind w:left="1300"/>
      </w:pPr>
      <w:r>
        <w:rPr/>
        <w:t>8、环保监测组</w:t>
      </w:r>
    </w:p>
    <w:p>
      <w:pPr>
        <w:pStyle w:val="ListParagraph"/>
        <w:numPr>
          <w:ilvl w:val="0"/>
          <w:numId w:val="27"/>
        </w:numPr>
        <w:tabs>
          <w:tab w:pos="1722" w:val="left" w:leader="none"/>
        </w:tabs>
        <w:spacing w:line="240" w:lineRule="auto" w:before="186" w:after="0"/>
        <w:ind w:left="1721" w:right="0" w:hanging="422"/>
        <w:jc w:val="left"/>
        <w:rPr>
          <w:sz w:val="28"/>
        </w:rPr>
      </w:pPr>
      <w:r>
        <w:rPr>
          <w:spacing w:val="-1"/>
          <w:sz w:val="28"/>
        </w:rPr>
        <w:t>现场监测；</w:t>
      </w:r>
    </w:p>
    <w:p>
      <w:pPr>
        <w:pStyle w:val="ListParagraph"/>
        <w:numPr>
          <w:ilvl w:val="0"/>
          <w:numId w:val="27"/>
        </w:numPr>
        <w:tabs>
          <w:tab w:pos="1722" w:val="left" w:leader="none"/>
        </w:tabs>
        <w:spacing w:line="240" w:lineRule="auto" w:before="186" w:after="0"/>
        <w:ind w:left="1721" w:right="0" w:hanging="422"/>
        <w:jc w:val="left"/>
        <w:rPr>
          <w:sz w:val="28"/>
        </w:rPr>
      </w:pPr>
      <w:r>
        <w:rPr>
          <w:spacing w:val="-3"/>
          <w:sz w:val="28"/>
        </w:rPr>
        <w:t>事故后期环境质量恢复情况调查。</w:t>
      </w:r>
    </w:p>
    <w:p>
      <w:pPr>
        <w:pStyle w:val="Heading1"/>
        <w:numPr>
          <w:ilvl w:val="0"/>
          <w:numId w:val="9"/>
        </w:numPr>
        <w:tabs>
          <w:tab w:pos="984" w:val="left" w:leader="none"/>
        </w:tabs>
        <w:spacing w:line="240" w:lineRule="auto" w:before="189" w:after="0"/>
        <w:ind w:left="983" w:right="0" w:hanging="243"/>
        <w:jc w:val="left"/>
      </w:pPr>
      <w:bookmarkStart w:name="_TOC_250042" w:id="26"/>
      <w:bookmarkEnd w:id="26"/>
      <w:r>
        <w:rPr/>
        <w:t>预防与预警机制</w:t>
      </w:r>
    </w:p>
    <w:p>
      <w:pPr>
        <w:pStyle w:val="BodyText"/>
        <w:spacing w:line="364" w:lineRule="auto" w:before="209"/>
        <w:ind w:left="741" w:right="523" w:firstLine="559"/>
      </w:pPr>
      <w:r>
        <w:rPr/>
        <w:t>建立企业内部监控预警方案，明确企业内部预警条件，预警等级， 预警信息发布、接收、调整、解除程序、发布内容、责任人。</w:t>
      </w:r>
    </w:p>
    <w:p>
      <w:pPr>
        <w:pStyle w:val="BodyText"/>
        <w:spacing w:line="364" w:lineRule="auto"/>
        <w:ind w:left="741" w:right="716" w:firstLine="559"/>
      </w:pPr>
      <w:r>
        <w:rPr/>
        <w:t>明确监控信息的获得途径和分析研判的方式方法，例如极端天气等自然灾害、生产安全事故等事故灾难、相关监控监测信息等。</w:t>
      </w:r>
    </w:p>
    <w:p>
      <w:pPr>
        <w:pStyle w:val="ListParagraph"/>
        <w:numPr>
          <w:ilvl w:val="1"/>
          <w:numId w:val="9"/>
        </w:numPr>
        <w:tabs>
          <w:tab w:pos="1306" w:val="left" w:leader="none"/>
        </w:tabs>
        <w:spacing w:line="358" w:lineRule="exact" w:before="0" w:after="0"/>
        <w:ind w:left="1305" w:right="0" w:hanging="565"/>
        <w:jc w:val="left"/>
        <w:rPr>
          <w:b/>
          <w:sz w:val="28"/>
        </w:rPr>
      </w:pPr>
      <w:bookmarkStart w:name="_TOC_250041" w:id="27"/>
      <w:bookmarkEnd w:id="27"/>
      <w:r>
        <w:rPr>
          <w:b/>
          <w:sz w:val="28"/>
        </w:rPr>
        <w:t>环境风险源监控</w:t>
      </w:r>
    </w:p>
    <w:p>
      <w:pPr>
        <w:pStyle w:val="BodyText"/>
        <w:spacing w:line="364" w:lineRule="auto" w:before="185"/>
        <w:ind w:left="741" w:right="716" w:firstLine="559"/>
      </w:pPr>
      <w:r>
        <w:rPr>
          <w:spacing w:val="-13"/>
        </w:rPr>
        <w:t>公司每天 </w:t>
      </w:r>
      <w:r>
        <w:rPr/>
        <w:t>24</w:t>
      </w:r>
      <w:r>
        <w:rPr>
          <w:spacing w:val="-13"/>
        </w:rPr>
        <w:t> 小时安排值班人员，加强安全巡查、防火巡查等。一</w:t>
      </w:r>
      <w:r>
        <w:rPr>
          <w:spacing w:val="-8"/>
        </w:rPr>
        <w:t>旦发生事件，能迅速作出反应。</w:t>
      </w:r>
    </w:p>
    <w:p>
      <w:pPr>
        <w:pStyle w:val="BodyText"/>
        <w:spacing w:line="364" w:lineRule="auto"/>
        <w:ind w:left="741" w:right="716" w:firstLine="559"/>
      </w:pPr>
      <w:r>
        <w:rPr/>
        <w:t>公司有完善的安全消防措施，配备完善消防系统，设有灭火器、灭火沙箱及消防栓等。</w:t>
      </w:r>
    </w:p>
    <w:p>
      <w:pPr>
        <w:pStyle w:val="ListParagraph"/>
        <w:numPr>
          <w:ilvl w:val="1"/>
          <w:numId w:val="9"/>
        </w:numPr>
        <w:tabs>
          <w:tab w:pos="1306" w:val="left" w:leader="none"/>
        </w:tabs>
        <w:spacing w:line="355" w:lineRule="exact" w:before="0" w:after="0"/>
        <w:ind w:left="1305" w:right="0" w:hanging="565"/>
        <w:jc w:val="left"/>
        <w:rPr>
          <w:b/>
          <w:sz w:val="28"/>
        </w:rPr>
      </w:pPr>
      <w:bookmarkStart w:name="_TOC_250040" w:id="28"/>
      <w:bookmarkEnd w:id="28"/>
      <w:r>
        <w:rPr>
          <w:b/>
          <w:sz w:val="28"/>
        </w:rPr>
        <w:t>预防措施</w:t>
      </w:r>
    </w:p>
    <w:p>
      <w:pPr>
        <w:pStyle w:val="BodyText"/>
        <w:spacing w:line="364" w:lineRule="auto" w:before="185"/>
        <w:ind w:left="741" w:right="735" w:firstLine="700"/>
      </w:pPr>
      <w:r>
        <w:rPr/>
        <w:t>1）对车间设备、物料储存设施等进行经常性的安全检查。检查内容、时间、人员应有记录保存。</w:t>
      </w:r>
    </w:p>
    <w:p>
      <w:pPr>
        <w:pStyle w:val="ListParagraph"/>
        <w:numPr>
          <w:ilvl w:val="0"/>
          <w:numId w:val="28"/>
        </w:numPr>
        <w:tabs>
          <w:tab w:pos="1796" w:val="left" w:leader="none"/>
        </w:tabs>
        <w:spacing w:line="364" w:lineRule="auto" w:before="0" w:after="0"/>
        <w:ind w:left="741" w:right="734" w:firstLine="600"/>
        <w:jc w:val="left"/>
        <w:rPr>
          <w:sz w:val="28"/>
        </w:rPr>
      </w:pPr>
      <w:r>
        <w:rPr>
          <w:sz w:val="28"/>
        </w:rPr>
        <w:t>加强安全管理，定期开展员工培训，加强火源的控制管理， </w:t>
      </w:r>
      <w:r>
        <w:rPr>
          <w:spacing w:val="17"/>
          <w:sz w:val="28"/>
        </w:rPr>
        <w:t>严禁带烟火进入禁火区。</w:t>
      </w:r>
    </w:p>
    <w:p>
      <w:pPr>
        <w:pStyle w:val="ListParagraph"/>
        <w:numPr>
          <w:ilvl w:val="0"/>
          <w:numId w:val="28"/>
        </w:numPr>
        <w:tabs>
          <w:tab w:pos="1784" w:val="left" w:leader="none"/>
        </w:tabs>
        <w:spacing w:line="364" w:lineRule="auto" w:before="0" w:after="0"/>
        <w:ind w:left="741" w:right="740" w:firstLine="600"/>
        <w:jc w:val="left"/>
        <w:rPr>
          <w:sz w:val="28"/>
        </w:rPr>
      </w:pPr>
      <w:r>
        <w:rPr>
          <w:sz w:val="28"/>
        </w:rPr>
        <w:t>定期对电气设备设施进行检查，在设备上，设置永久性接地</w:t>
      </w:r>
      <w:r>
        <w:rPr>
          <w:spacing w:val="17"/>
          <w:sz w:val="28"/>
        </w:rPr>
        <w:t>装置； 要有防雷装置，特别防止雷击。</w:t>
      </w:r>
    </w:p>
    <w:p>
      <w:pPr>
        <w:pStyle w:val="ListParagraph"/>
        <w:numPr>
          <w:ilvl w:val="0"/>
          <w:numId w:val="28"/>
        </w:numPr>
        <w:tabs>
          <w:tab w:pos="1793" w:val="left" w:leader="none"/>
        </w:tabs>
        <w:spacing w:line="364" w:lineRule="auto" w:before="0" w:after="0"/>
        <w:ind w:left="741" w:right="689" w:firstLine="600"/>
        <w:jc w:val="left"/>
        <w:rPr>
          <w:sz w:val="28"/>
        </w:rPr>
      </w:pPr>
      <w:r>
        <w:rPr>
          <w:spacing w:val="17"/>
          <w:sz w:val="28"/>
        </w:rPr>
        <w:t>要有完善的安全消防措施。全厂区配备必要的消防设施， 包括灭火器、消防栓、消防泵等。</w:t>
      </w:r>
    </w:p>
    <w:p>
      <w:pPr>
        <w:pStyle w:val="ListParagraph"/>
        <w:numPr>
          <w:ilvl w:val="0"/>
          <w:numId w:val="28"/>
        </w:numPr>
        <w:tabs>
          <w:tab w:pos="1952" w:val="left" w:leader="none"/>
        </w:tabs>
        <w:spacing w:line="358" w:lineRule="exact" w:before="0" w:after="0"/>
        <w:ind w:left="1951" w:right="0" w:hanging="460"/>
        <w:jc w:val="left"/>
        <w:rPr>
          <w:sz w:val="28"/>
        </w:rPr>
      </w:pPr>
      <w:r>
        <w:rPr>
          <w:spacing w:val="20"/>
          <w:sz w:val="28"/>
        </w:rPr>
        <w:t>厂区内的仓储区、生产装置区等各功能区之间应按国家</w:t>
      </w:r>
    </w:p>
    <w:p>
      <w:pPr>
        <w:spacing w:after="0" w:line="358" w:lineRule="exact"/>
        <w:jc w:val="left"/>
        <w:rPr>
          <w:sz w:val="28"/>
        </w:rPr>
        <w:sectPr>
          <w:pgSz w:w="11910" w:h="16840"/>
          <w:pgMar w:header="0" w:footer="984" w:top="1580" w:bottom="1180" w:left="960" w:right="980"/>
        </w:sectPr>
      </w:pPr>
    </w:p>
    <w:p>
      <w:pPr>
        <w:pStyle w:val="BodyText"/>
        <w:spacing w:line="364" w:lineRule="auto" w:before="102"/>
        <w:ind w:left="741" w:right="732"/>
      </w:pPr>
      <w:r>
        <w:rPr/>
        <w:t>消防安全规定，设置足够的安全距离和道路， 以便安全疏散和消防。</w:t>
      </w:r>
    </w:p>
    <w:p>
      <w:pPr>
        <w:pStyle w:val="ListParagraph"/>
        <w:numPr>
          <w:ilvl w:val="1"/>
          <w:numId w:val="9"/>
        </w:numPr>
        <w:tabs>
          <w:tab w:pos="1306" w:val="left" w:leader="none"/>
        </w:tabs>
        <w:spacing w:line="358" w:lineRule="exact" w:before="0" w:after="0"/>
        <w:ind w:left="1305" w:right="0" w:hanging="565"/>
        <w:jc w:val="left"/>
        <w:rPr>
          <w:b/>
          <w:sz w:val="28"/>
        </w:rPr>
      </w:pPr>
      <w:bookmarkStart w:name="_TOC_250039" w:id="29"/>
      <w:bookmarkEnd w:id="29"/>
      <w:r>
        <w:rPr>
          <w:b/>
          <w:sz w:val="28"/>
        </w:rPr>
        <w:t>预警机制</w:t>
      </w:r>
    </w:p>
    <w:p>
      <w:pPr>
        <w:pStyle w:val="ListParagraph"/>
        <w:numPr>
          <w:ilvl w:val="2"/>
          <w:numId w:val="9"/>
        </w:numPr>
        <w:tabs>
          <w:tab w:pos="1798" w:val="left" w:leader="none"/>
        </w:tabs>
        <w:spacing w:line="240" w:lineRule="auto" w:before="186" w:after="0"/>
        <w:ind w:left="1797" w:right="0" w:hanging="776"/>
        <w:jc w:val="left"/>
        <w:rPr>
          <w:b/>
          <w:sz w:val="28"/>
        </w:rPr>
      </w:pPr>
      <w:r>
        <w:rPr>
          <w:b/>
          <w:sz w:val="28"/>
        </w:rPr>
        <w:t>外部预警</w:t>
      </w:r>
    </w:p>
    <w:p>
      <w:pPr>
        <w:pStyle w:val="BodyText"/>
        <w:spacing w:line="364" w:lineRule="auto" w:before="186"/>
        <w:ind w:left="741" w:right="576" w:firstLine="559"/>
      </w:pPr>
      <w:r>
        <w:rPr/>
        <w:t>当公司接到可能各类警报后，应按照分级响应的原则及时研究确</w:t>
      </w:r>
      <w:r>
        <w:rPr>
          <w:spacing w:val="-7"/>
        </w:rPr>
        <w:t>定应对方案，并通知有关部门、生产单位采取有效措施预防事故发生； </w:t>
      </w:r>
      <w:r>
        <w:rPr>
          <w:spacing w:val="-2"/>
        </w:rPr>
        <w:t>当应急救援指挥部认为事故较大，有可能超出本级处置能力时，要及</w:t>
      </w:r>
      <w:r>
        <w:rPr/>
        <w:t>时向滨海区环保局、市环保局、安监局报告，及时研究应对方案，采</w:t>
      </w:r>
      <w:r>
        <w:rPr>
          <w:spacing w:val="-1"/>
        </w:rPr>
        <w:t>取预警行动。</w:t>
      </w:r>
    </w:p>
    <w:p>
      <w:pPr>
        <w:pStyle w:val="ListParagraph"/>
        <w:numPr>
          <w:ilvl w:val="2"/>
          <w:numId w:val="9"/>
        </w:numPr>
        <w:tabs>
          <w:tab w:pos="1798" w:val="left" w:leader="none"/>
        </w:tabs>
        <w:spacing w:line="354" w:lineRule="exact" w:before="0" w:after="0"/>
        <w:ind w:left="1797" w:right="0" w:hanging="776"/>
        <w:jc w:val="left"/>
        <w:rPr>
          <w:b/>
          <w:sz w:val="28"/>
        </w:rPr>
      </w:pPr>
      <w:r>
        <w:rPr>
          <w:b/>
          <w:sz w:val="28"/>
        </w:rPr>
        <w:t>内部预警</w:t>
      </w:r>
    </w:p>
    <w:p>
      <w:pPr>
        <w:pStyle w:val="BodyText"/>
        <w:spacing w:line="364" w:lineRule="auto" w:before="186"/>
        <w:ind w:left="741" w:right="716" w:firstLine="559"/>
        <w:jc w:val="both"/>
      </w:pPr>
      <w:r>
        <w:rPr/>
        <w:t>公司内的各种监控措施，突显事故明显特征时，及时向应急指挥部报告；应急指挥部根据等级安排应急指挥领导小组成员及各应急救援组做好事故应急准备，直到警报解除为止。对于公司不能处理的各类风险及时向周围单位、街道政府及其他部门报告。</w:t>
      </w:r>
    </w:p>
    <w:p>
      <w:pPr>
        <w:pStyle w:val="ListParagraph"/>
        <w:numPr>
          <w:ilvl w:val="2"/>
          <w:numId w:val="9"/>
        </w:numPr>
        <w:tabs>
          <w:tab w:pos="1798" w:val="left" w:leader="none"/>
        </w:tabs>
        <w:spacing w:line="357" w:lineRule="exact" w:before="0" w:after="0"/>
        <w:ind w:left="1797" w:right="0" w:hanging="776"/>
        <w:jc w:val="left"/>
        <w:rPr>
          <w:b/>
          <w:sz w:val="28"/>
        </w:rPr>
      </w:pPr>
      <w:r>
        <w:rPr>
          <w:b/>
          <w:sz w:val="28"/>
        </w:rPr>
        <w:t>预警</w:t>
      </w:r>
    </w:p>
    <w:p>
      <w:pPr>
        <w:pStyle w:val="BodyText"/>
        <w:spacing w:before="186"/>
        <w:ind w:left="1300"/>
      </w:pPr>
      <w:r>
        <w:rPr/>
        <w:t>1、一级预警</w:t>
      </w:r>
    </w:p>
    <w:p>
      <w:pPr>
        <w:pStyle w:val="BodyText"/>
        <w:spacing w:before="186"/>
        <w:ind w:left="1300"/>
      </w:pPr>
      <w:r>
        <w:rPr/>
        <w:t>一级预警为已发生火灾爆炸和泄漏事件。</w:t>
      </w:r>
    </w:p>
    <w:p>
      <w:pPr>
        <w:pStyle w:val="BodyText"/>
        <w:spacing w:line="364" w:lineRule="auto" w:before="186"/>
        <w:ind w:left="741" w:right="716" w:firstLine="559"/>
        <w:jc w:val="both"/>
      </w:pPr>
      <w:r>
        <w:rPr/>
        <w:t>现场人员立即报告值班室，值班人员核实情况后立即报告公司， 公司应急领导小组启动预案，并由应急小组总指挥或副总指挥立即向政府有关部门报告。</w:t>
      </w:r>
    </w:p>
    <w:p>
      <w:pPr>
        <w:pStyle w:val="BodyText"/>
        <w:spacing w:line="364" w:lineRule="auto"/>
        <w:ind w:left="741" w:right="716" w:firstLine="559"/>
        <w:jc w:val="both"/>
      </w:pPr>
      <w:r>
        <w:rPr/>
        <w:t>政府及其有关部门介入后，环境应急指挥权移交政府有关部门， 由政府有关部门根据事故大小调配和使用社会应急资源调动，公司应急指挥负责调配和使用公司应急资源，并配合政府有关部门工作。</w:t>
      </w:r>
    </w:p>
    <w:p>
      <w:pPr>
        <w:pStyle w:val="BodyText"/>
        <w:spacing w:line="357" w:lineRule="exact"/>
        <w:ind w:left="1300"/>
      </w:pPr>
      <w:r>
        <w:rPr/>
        <w:t>2、二级预警</w:t>
      </w:r>
    </w:p>
    <w:p>
      <w:pPr>
        <w:pStyle w:val="BodyText"/>
        <w:spacing w:before="185"/>
        <w:ind w:left="1300"/>
      </w:pPr>
      <w:r>
        <w:rPr/>
        <w:t>设备、设施出现故障，将会导致泄漏等事件的；</w:t>
      </w:r>
    </w:p>
    <w:p>
      <w:pPr>
        <w:spacing w:after="0"/>
        <w:sectPr>
          <w:pgSz w:w="11910" w:h="16840"/>
          <w:pgMar w:header="0" w:footer="984" w:top="1580" w:bottom="1180" w:left="960" w:right="980"/>
        </w:sectPr>
      </w:pPr>
    </w:p>
    <w:p>
      <w:pPr>
        <w:pStyle w:val="BodyText"/>
        <w:spacing w:before="102"/>
        <w:ind w:left="1300"/>
      </w:pPr>
      <w:r>
        <w:rPr/>
        <w:t>现场发现存在泄漏或火灾迹象的；</w:t>
      </w:r>
    </w:p>
    <w:p>
      <w:pPr>
        <w:pStyle w:val="BodyText"/>
        <w:spacing w:line="364" w:lineRule="auto" w:before="186"/>
        <w:ind w:left="1300" w:right="2782"/>
      </w:pPr>
      <w:r>
        <w:rPr/>
        <w:t>遇雷雨、强台风、极端高温、汛涝等恶劣气候； 其他异常现象。</w:t>
      </w:r>
    </w:p>
    <w:p>
      <w:pPr>
        <w:pStyle w:val="BodyText"/>
        <w:spacing w:line="364" w:lineRule="auto"/>
        <w:ind w:left="741" w:right="716" w:firstLine="559"/>
        <w:jc w:val="both"/>
      </w:pPr>
      <w:r>
        <w:rPr/>
        <w:t>现场人员立即报告部门负责人和值班人员并通知部，部门负责人或值班员视现场情况组织现场处置，生产运行部视情况协调相关部门进行现场处置，落实巡查、监控措施；如隐患未消除，应通知相关应急部门、人员作好应急准备。</w:t>
      </w:r>
    </w:p>
    <w:p>
      <w:pPr>
        <w:pStyle w:val="BodyText"/>
        <w:spacing w:line="364" w:lineRule="auto"/>
        <w:ind w:left="741" w:right="716" w:firstLine="559"/>
        <w:jc w:val="both"/>
      </w:pPr>
      <w:r>
        <w:rPr/>
        <w:t>以上预警信息报告通知，遇非工作日时，通知值班人员，并及时报告应急领导小组组长和有关人员，负责调配和使用公司应急资源， 对风险事故进行处理处置。</w:t>
      </w:r>
    </w:p>
    <w:p>
      <w:pPr>
        <w:pStyle w:val="BodyText"/>
        <w:spacing w:line="357" w:lineRule="exact"/>
        <w:ind w:left="1300"/>
      </w:pPr>
      <w:r>
        <w:rPr/>
        <w:t>3、巡检预警制度</w:t>
      </w:r>
    </w:p>
    <w:p>
      <w:pPr>
        <w:pStyle w:val="BodyText"/>
        <w:spacing w:line="364" w:lineRule="auto" w:before="180"/>
        <w:ind w:left="741" w:right="716" w:firstLine="559"/>
        <w:jc w:val="both"/>
      </w:pPr>
      <w:r>
        <w:rPr/>
        <w:t>巡回检查制度是执行工艺纪律的重要手段和方法，每个岗位操作工要认真进行巡回检查，确保工艺指标的执行，全面掌握设备运行状态的变化,及时查明和消除隐患,保障储运安全生产。</w:t>
      </w:r>
    </w:p>
    <w:p>
      <w:pPr>
        <w:pStyle w:val="BodyText"/>
        <w:spacing w:line="364" w:lineRule="auto"/>
        <w:ind w:left="741" w:right="716" w:firstLine="559"/>
      </w:pPr>
      <w:r>
        <w:rPr/>
        <w:t>潍坊中汇化工有限公司成立了专门的消防保卫安全组织机构，制定了严格的《生产岗位巡检制度》、《领导干部带班管理规定》。</w:t>
      </w:r>
    </w:p>
    <w:p>
      <w:pPr>
        <w:pStyle w:val="BodyText"/>
        <w:spacing w:line="364" w:lineRule="auto"/>
        <w:ind w:left="741" w:right="579" w:firstLine="559"/>
      </w:pPr>
      <w:r>
        <w:rPr>
          <w:spacing w:val="3"/>
        </w:rPr>
        <w:t>巡回检查中检查内容： </w:t>
      </w:r>
      <w:r>
        <w:rPr/>
        <w:t>1、查工艺执行情况；</w:t>
      </w:r>
      <w:r>
        <w:rPr>
          <w:spacing w:val="2"/>
        </w:rPr>
        <w:t>2</w:t>
      </w:r>
      <w:r>
        <w:rPr/>
        <w:t>、查设备；</w:t>
      </w:r>
      <w:r>
        <w:rPr>
          <w:spacing w:val="2"/>
        </w:rPr>
        <w:t>3</w:t>
      </w:r>
      <w:r>
        <w:rPr/>
        <w:t>、查</w:t>
      </w:r>
      <w:r>
        <w:rPr>
          <w:spacing w:val="-2"/>
        </w:rPr>
        <w:t>安全附件； </w:t>
      </w:r>
      <w:r>
        <w:rPr>
          <w:spacing w:val="-3"/>
        </w:rPr>
        <w:t>4</w:t>
      </w:r>
      <w:r>
        <w:rPr>
          <w:spacing w:val="-13"/>
        </w:rPr>
        <w:t>、检查是否有跑、冒、滴、漏；</w:t>
      </w:r>
      <w:r>
        <w:rPr>
          <w:spacing w:val="-14"/>
        </w:rPr>
        <w:t>5</w:t>
      </w:r>
      <w:r>
        <w:rPr>
          <w:spacing w:val="-6"/>
        </w:rPr>
        <w:t>、检查是否有事故隐患。</w:t>
      </w:r>
    </w:p>
    <w:p>
      <w:pPr>
        <w:pStyle w:val="BodyText"/>
        <w:spacing w:line="364" w:lineRule="auto"/>
        <w:ind w:left="741" w:right="716" w:firstLine="559"/>
        <w:jc w:val="both"/>
      </w:pPr>
      <w:r>
        <w:rPr>
          <w:spacing w:val="-4"/>
        </w:rPr>
        <w:t>巡回检查频率要求：</w:t>
      </w:r>
      <w:r>
        <w:rPr>
          <w:spacing w:val="-6"/>
        </w:rPr>
        <w:t>1</w:t>
      </w:r>
      <w:r>
        <w:rPr>
          <w:spacing w:val="-5"/>
        </w:rPr>
        <w:t>、正常巡回检查：每一小时巡检一次，每二小时挂牌一次；</w:t>
      </w:r>
      <w:r>
        <w:rPr>
          <w:spacing w:val="-8"/>
        </w:rPr>
        <w:t>2</w:t>
      </w:r>
      <w:r>
        <w:rPr>
          <w:spacing w:val="-7"/>
        </w:rPr>
        <w:t>、异常巡回检查：异常情况要应适当增加巡回检查次数；3</w:t>
      </w:r>
      <w:r>
        <w:rPr>
          <w:spacing w:val="-10"/>
        </w:rPr>
        <w:t>、巡检时间在规定时间前后 </w:t>
      </w:r>
      <w:r>
        <w:rPr/>
        <w:t>15</w:t>
      </w:r>
      <w:r>
        <w:rPr>
          <w:spacing w:val="-16"/>
        </w:rPr>
        <w:t> 分钟内。</w:t>
      </w:r>
    </w:p>
    <w:p>
      <w:pPr>
        <w:pStyle w:val="ListParagraph"/>
        <w:numPr>
          <w:ilvl w:val="1"/>
          <w:numId w:val="9"/>
        </w:numPr>
        <w:tabs>
          <w:tab w:pos="1237" w:val="left" w:leader="none"/>
        </w:tabs>
        <w:spacing w:line="357" w:lineRule="exact" w:before="0" w:after="0"/>
        <w:ind w:left="1236" w:right="0" w:hanging="496"/>
        <w:jc w:val="both"/>
        <w:rPr>
          <w:b/>
          <w:sz w:val="28"/>
        </w:rPr>
      </w:pPr>
      <w:bookmarkStart w:name="_TOC_250038" w:id="30"/>
      <w:bookmarkEnd w:id="30"/>
      <w:r>
        <w:rPr>
          <w:b/>
          <w:sz w:val="28"/>
        </w:rPr>
        <w:t>预警行动</w:t>
      </w:r>
    </w:p>
    <w:p>
      <w:pPr>
        <w:pStyle w:val="BodyText"/>
        <w:spacing w:line="364" w:lineRule="auto" w:before="183"/>
        <w:ind w:left="741" w:right="716" w:firstLine="559"/>
        <w:jc w:val="both"/>
      </w:pPr>
      <w:r>
        <w:rPr/>
        <w:t>发生事故后，现场目击者或伤者应立即通过电话、手机等方式向公司值班人员报告或直接向公司应急救援总指挥部报告，报告的内容应尽可能准确、详细，包括发生事故的单位、时间、地点、性质、受</w:t>
      </w:r>
    </w:p>
    <w:p>
      <w:pPr>
        <w:spacing w:after="0" w:line="364" w:lineRule="auto"/>
        <w:jc w:val="both"/>
        <w:sectPr>
          <w:pgSz w:w="11910" w:h="16840"/>
          <w:pgMar w:header="0" w:footer="984" w:top="1580" w:bottom="1180" w:left="960" w:right="980"/>
        </w:sectPr>
      </w:pPr>
    </w:p>
    <w:p>
      <w:pPr>
        <w:pStyle w:val="BodyText"/>
        <w:spacing w:line="364" w:lineRule="auto" w:before="102"/>
        <w:ind w:left="741" w:right="718"/>
        <w:jc w:val="both"/>
      </w:pPr>
      <w:r>
        <w:rPr/>
        <w:t>伤人员情况、事故损失情况、需要的急救措施及指挥部与事故现场的联系方式等。发生物料泄露还应讲明泄露物料的名称、性质及现场环境情况，发生火灾爆炸事故应讲明火灾爆炸类型、现场易燃易爆物存放量和重要的设备分布，并可直接拨打 119 求救。</w:t>
      </w:r>
    </w:p>
    <w:p>
      <w:pPr>
        <w:pStyle w:val="BodyText"/>
        <w:spacing w:line="357" w:lineRule="exact"/>
        <w:ind w:left="1300"/>
      </w:pPr>
      <w:r>
        <w:rPr/>
        <w:t>进入预警状态后，应当采取的措施：</w:t>
      </w:r>
    </w:p>
    <w:p>
      <w:pPr>
        <w:pStyle w:val="BodyText"/>
        <w:spacing w:before="186"/>
        <w:ind w:left="1300"/>
      </w:pPr>
      <w:r>
        <w:rPr/>
        <w:t>1、立即启动相应的突发环境事件应急预案；</w:t>
      </w:r>
    </w:p>
    <w:p>
      <w:pPr>
        <w:pStyle w:val="BodyText"/>
        <w:spacing w:line="364" w:lineRule="auto" w:before="184"/>
        <w:ind w:left="741" w:right="663" w:firstLine="559"/>
      </w:pPr>
      <w:r>
        <w:rPr/>
        <w:t>2、发布预警公告。车间级预警由公司应急指挥中心负责发布，公司级预警上报滨海区环保局决定发布；</w:t>
      </w:r>
    </w:p>
    <w:p>
      <w:pPr>
        <w:pStyle w:val="BodyText"/>
        <w:spacing w:line="358" w:lineRule="exact"/>
        <w:ind w:left="1300"/>
      </w:pPr>
      <w:r>
        <w:rPr/>
        <w:t>3、转移、撤离和疏散可能受到危害的人员，并进行妥善安置；</w:t>
      </w:r>
    </w:p>
    <w:p>
      <w:pPr>
        <w:pStyle w:val="BodyText"/>
        <w:spacing w:line="364" w:lineRule="auto" w:before="186"/>
        <w:ind w:left="741" w:right="716" w:firstLine="559"/>
      </w:pPr>
      <w:r>
        <w:rPr/>
        <w:t>4</w:t>
      </w:r>
      <w:r>
        <w:rPr>
          <w:spacing w:val="-7"/>
        </w:rPr>
        <w:t>、指令各环境应急救援队伍进入应急状态，联系环境监测部门立</w:t>
      </w:r>
      <w:r>
        <w:rPr>
          <w:spacing w:val="-3"/>
        </w:rPr>
        <w:t>即开展应急监测，随时掌握并报告事态进展情况；</w:t>
      </w:r>
    </w:p>
    <w:p>
      <w:pPr>
        <w:pStyle w:val="BodyText"/>
        <w:spacing w:line="364" w:lineRule="auto"/>
        <w:ind w:left="741" w:right="716" w:firstLine="559"/>
      </w:pPr>
      <w:r>
        <w:rPr/>
        <w:t>5</w:t>
      </w:r>
      <w:r>
        <w:rPr>
          <w:spacing w:val="-6"/>
        </w:rPr>
        <w:t>、针对突发环境事件可能造成的危害，封闭、隔离或者限制使用</w:t>
      </w:r>
      <w:r>
        <w:rPr>
          <w:spacing w:val="-5"/>
        </w:rPr>
        <w:t>有关场所，终止可能导致事态扩大的行为和活动；</w:t>
      </w:r>
    </w:p>
    <w:p>
      <w:pPr>
        <w:pStyle w:val="BodyText"/>
        <w:spacing w:line="358" w:lineRule="exact"/>
        <w:ind w:left="1300"/>
      </w:pPr>
      <w:r>
        <w:rPr/>
        <w:t>6、调集环境应急所需物资和设备，确保应急保障工作。</w:t>
      </w:r>
    </w:p>
    <w:p>
      <w:pPr>
        <w:pStyle w:val="ListParagraph"/>
        <w:numPr>
          <w:ilvl w:val="1"/>
          <w:numId w:val="9"/>
        </w:numPr>
        <w:tabs>
          <w:tab w:pos="1237" w:val="left" w:leader="none"/>
        </w:tabs>
        <w:spacing w:line="240" w:lineRule="auto" w:before="185" w:after="0"/>
        <w:ind w:left="1236" w:right="0" w:hanging="496"/>
        <w:jc w:val="left"/>
        <w:rPr>
          <w:b/>
          <w:sz w:val="28"/>
        </w:rPr>
      </w:pPr>
      <w:bookmarkStart w:name="_TOC_250037" w:id="31"/>
      <w:bookmarkEnd w:id="31"/>
      <w:r>
        <w:rPr>
          <w:b/>
          <w:sz w:val="28"/>
        </w:rPr>
        <w:t>事后处理</w:t>
      </w:r>
    </w:p>
    <w:p>
      <w:pPr>
        <w:pStyle w:val="BodyText"/>
        <w:spacing w:line="364" w:lineRule="auto" w:before="186"/>
        <w:ind w:left="741" w:right="661" w:firstLine="559"/>
      </w:pPr>
      <w:r>
        <w:rPr/>
        <w:t>1、事故得到控制后，要尽快研究抢修方案，并立即组织抢修，泄漏容器经检验合格后，方可投入使用，恢复生产。</w:t>
      </w:r>
    </w:p>
    <w:p>
      <w:pPr>
        <w:pStyle w:val="BodyText"/>
        <w:spacing w:line="364" w:lineRule="auto"/>
        <w:ind w:left="741" w:right="663" w:firstLine="559"/>
      </w:pPr>
      <w:r>
        <w:rPr/>
        <w:t>2、事故处置完后，立即成立事故调查小组，展开调查，总结教训和研究制定防范措施。</w:t>
      </w:r>
    </w:p>
    <w:p>
      <w:pPr>
        <w:pStyle w:val="BodyText"/>
        <w:spacing w:line="364" w:lineRule="auto"/>
        <w:ind w:left="741" w:right="663" w:firstLine="559"/>
      </w:pPr>
      <w:r>
        <w:rPr/>
        <w:t>3、夜间发生的一般事故，公司值班人员、车间值班人员按应急救援预案，组织指挥事故处置和落实抢修任务。</w:t>
      </w:r>
    </w:p>
    <w:p>
      <w:pPr>
        <w:pStyle w:val="ListParagraph"/>
        <w:numPr>
          <w:ilvl w:val="1"/>
          <w:numId w:val="9"/>
        </w:numPr>
        <w:tabs>
          <w:tab w:pos="1237" w:val="left" w:leader="none"/>
        </w:tabs>
        <w:spacing w:line="358" w:lineRule="exact" w:before="0" w:after="0"/>
        <w:ind w:left="1236" w:right="0" w:hanging="496"/>
        <w:jc w:val="left"/>
        <w:rPr>
          <w:b/>
          <w:sz w:val="28"/>
        </w:rPr>
      </w:pPr>
      <w:bookmarkStart w:name="_TOC_250036" w:id="32"/>
      <w:bookmarkEnd w:id="32"/>
      <w:r>
        <w:rPr>
          <w:b/>
          <w:sz w:val="28"/>
        </w:rPr>
        <w:t>报警、通讯联络方式</w:t>
      </w:r>
    </w:p>
    <w:p>
      <w:pPr>
        <w:pStyle w:val="BodyText"/>
        <w:spacing w:line="364" w:lineRule="auto" w:before="184"/>
        <w:ind w:left="741" w:right="716" w:firstLine="559"/>
      </w:pPr>
      <w:r>
        <w:rPr>
          <w:spacing w:val="-20"/>
        </w:rPr>
        <w:t>公司 </w:t>
      </w:r>
      <w:r>
        <w:rPr/>
        <w:t>24</w:t>
      </w:r>
      <w:r>
        <w:rPr>
          <w:spacing w:val="-14"/>
        </w:rPr>
        <w:t> 小时应急值班电话 </w:t>
      </w:r>
      <w:r>
        <w:rPr/>
        <w:t>0536</w:t>
      </w:r>
      <w:r>
        <w:rPr>
          <w:spacing w:val="1"/>
        </w:rPr>
        <w:t>- </w:t>
      </w:r>
      <w:r>
        <w:rPr/>
        <w:t>2203839</w:t>
      </w:r>
      <w:r>
        <w:rPr>
          <w:spacing w:val="-3"/>
        </w:rPr>
        <w:t>，应急救援小组电话见</w:t>
      </w:r>
      <w:r>
        <w:rPr>
          <w:spacing w:val="-24"/>
        </w:rPr>
        <w:t>附件 </w:t>
      </w:r>
      <w:r>
        <w:rPr/>
        <w:t>4。</w:t>
      </w:r>
    </w:p>
    <w:p>
      <w:pPr>
        <w:spacing w:after="0" w:line="364" w:lineRule="auto"/>
        <w:sectPr>
          <w:pgSz w:w="11910" w:h="16840"/>
          <w:pgMar w:header="0" w:footer="984" w:top="1580" w:bottom="1180" w:left="960" w:right="980"/>
        </w:sectPr>
      </w:pPr>
    </w:p>
    <w:p>
      <w:pPr>
        <w:pStyle w:val="ListParagraph"/>
        <w:numPr>
          <w:ilvl w:val="1"/>
          <w:numId w:val="9"/>
        </w:numPr>
        <w:tabs>
          <w:tab w:pos="1306" w:val="left" w:leader="none"/>
        </w:tabs>
        <w:spacing w:line="240" w:lineRule="auto" w:before="102" w:after="0"/>
        <w:ind w:left="1305" w:right="0" w:hanging="565"/>
        <w:jc w:val="both"/>
        <w:rPr>
          <w:b/>
          <w:sz w:val="28"/>
        </w:rPr>
      </w:pPr>
      <w:bookmarkStart w:name="_TOC_250035" w:id="33"/>
      <w:bookmarkEnd w:id="33"/>
      <w:r>
        <w:rPr>
          <w:b/>
          <w:sz w:val="28"/>
        </w:rPr>
        <w:t>监测预警</w:t>
      </w:r>
    </w:p>
    <w:p>
      <w:pPr>
        <w:pStyle w:val="BodyText"/>
        <w:spacing w:line="364" w:lineRule="auto" w:before="186"/>
        <w:ind w:left="741" w:right="716" w:firstLine="559"/>
        <w:jc w:val="both"/>
      </w:pPr>
      <w:r>
        <w:rPr/>
        <w:t>1</w:t>
      </w:r>
      <w:r>
        <w:rPr>
          <w:spacing w:val="-6"/>
        </w:rPr>
        <w:t>、通过气象台发布的不利气象条件，进行厂内措施预防，不利气</w:t>
      </w:r>
      <w:r>
        <w:rPr>
          <w:spacing w:val="-1"/>
        </w:rPr>
        <w:t>象发生时，要时刻关注监控设备，及时发现事故，并根据事故大小发</w:t>
      </w:r>
      <w:r>
        <w:rPr>
          <w:spacing w:val="-3"/>
        </w:rPr>
        <w:t>出不同级别预警，不利气象发生后，解除预警；</w:t>
      </w:r>
    </w:p>
    <w:p>
      <w:pPr>
        <w:pStyle w:val="BodyText"/>
        <w:spacing w:line="357" w:lineRule="exact"/>
        <w:ind w:left="1300"/>
      </w:pPr>
      <w:r>
        <w:rPr/>
        <w:t>2、通过气体报警装置及时了解事故地点和事故大小，并进行预警。</w:t>
      </w:r>
    </w:p>
    <w:p>
      <w:pPr>
        <w:pStyle w:val="Heading1"/>
        <w:numPr>
          <w:ilvl w:val="0"/>
          <w:numId w:val="9"/>
        </w:numPr>
        <w:tabs>
          <w:tab w:pos="984" w:val="left" w:leader="none"/>
        </w:tabs>
        <w:spacing w:line="240" w:lineRule="auto" w:before="189" w:after="0"/>
        <w:ind w:left="983" w:right="0" w:hanging="243"/>
        <w:jc w:val="left"/>
      </w:pPr>
      <w:bookmarkStart w:name="_TOC_250034" w:id="34"/>
      <w:bookmarkEnd w:id="34"/>
      <w:r>
        <w:rPr/>
        <w:t>信息报告与发布</w:t>
      </w:r>
    </w:p>
    <w:p>
      <w:pPr>
        <w:pStyle w:val="ListParagraph"/>
        <w:numPr>
          <w:ilvl w:val="1"/>
          <w:numId w:val="9"/>
        </w:numPr>
        <w:tabs>
          <w:tab w:pos="1237" w:val="left" w:leader="none"/>
        </w:tabs>
        <w:spacing w:line="240" w:lineRule="auto" w:before="209" w:after="0"/>
        <w:ind w:left="1236" w:right="0" w:hanging="496"/>
        <w:jc w:val="both"/>
        <w:rPr>
          <w:b/>
          <w:sz w:val="28"/>
        </w:rPr>
      </w:pPr>
      <w:bookmarkStart w:name="_TOC_250033" w:id="35"/>
      <w:bookmarkEnd w:id="35"/>
      <w:r>
        <w:rPr>
          <w:b/>
          <w:sz w:val="28"/>
        </w:rPr>
        <w:t>内部报告</w:t>
      </w:r>
    </w:p>
    <w:p>
      <w:pPr>
        <w:pStyle w:val="BodyText"/>
        <w:spacing w:line="364" w:lineRule="auto" w:before="186"/>
        <w:ind w:left="741" w:right="713" w:firstLine="559"/>
        <w:jc w:val="both"/>
      </w:pPr>
      <w:r>
        <w:rPr>
          <w:spacing w:val="-9"/>
        </w:rPr>
        <w:t>公司设立值班室，值班安排 </w:t>
      </w:r>
      <w:r>
        <w:rPr/>
        <w:t>24</w:t>
      </w:r>
      <w:r>
        <w:rPr>
          <w:spacing w:val="-11"/>
        </w:rPr>
        <w:t> 小时有效报警电话，事故发生后由</w:t>
      </w:r>
      <w:r>
        <w:rPr/>
        <w:t>发现人员直接报公司值班人员，并立即由值班人员报告有关领导，有</w:t>
      </w:r>
      <w:r>
        <w:rPr>
          <w:spacing w:val="11"/>
        </w:rPr>
        <w:t>关领导根据事故的严重程度决定是否启动公司环境事故应急救援预案。</w:t>
      </w:r>
    </w:p>
    <w:p>
      <w:pPr>
        <w:pStyle w:val="BodyText"/>
        <w:spacing w:line="364" w:lineRule="auto"/>
        <w:ind w:left="741" w:right="716" w:firstLine="559"/>
      </w:pPr>
      <w:r>
        <w:rPr/>
        <w:t>内部联络：岗位电话或事故源岗位值班人员的口头汇报，报告公司值班人员。</w:t>
      </w:r>
    </w:p>
    <w:p>
      <w:pPr>
        <w:pStyle w:val="BodyText"/>
        <w:spacing w:line="364" w:lineRule="auto"/>
        <w:ind w:left="741" w:right="716" w:firstLine="559"/>
      </w:pPr>
      <w:r>
        <w:rPr/>
        <w:t>外部联络：根据事故的严重程度经公司领导决定后，由公司办公室上报政府有关部门等请求支援。各级通讯联系方式见附件 4。</w:t>
      </w:r>
    </w:p>
    <w:p>
      <w:pPr>
        <w:pStyle w:val="ListParagraph"/>
        <w:numPr>
          <w:ilvl w:val="1"/>
          <w:numId w:val="9"/>
        </w:numPr>
        <w:tabs>
          <w:tab w:pos="1237" w:val="left" w:leader="none"/>
        </w:tabs>
        <w:spacing w:line="355" w:lineRule="exact" w:before="0" w:after="0"/>
        <w:ind w:left="1236" w:right="0" w:hanging="496"/>
        <w:jc w:val="left"/>
        <w:rPr>
          <w:b/>
          <w:sz w:val="28"/>
        </w:rPr>
      </w:pPr>
      <w:bookmarkStart w:name="_TOC_250032" w:id="36"/>
      <w:bookmarkEnd w:id="36"/>
      <w:r>
        <w:rPr>
          <w:b/>
          <w:sz w:val="28"/>
        </w:rPr>
        <w:t>突发环境事件报告时限和程序</w:t>
      </w:r>
    </w:p>
    <w:p>
      <w:pPr>
        <w:pStyle w:val="BodyText"/>
        <w:spacing w:line="364" w:lineRule="auto" w:before="183"/>
        <w:ind w:left="741" w:right="715" w:firstLine="559"/>
        <w:jc w:val="both"/>
      </w:pPr>
      <w:r>
        <w:rPr/>
        <w:t>1</w:t>
      </w:r>
      <w:r>
        <w:rPr>
          <w:spacing w:val="-7"/>
        </w:rPr>
        <w:t>、事故环境发生后，事故现场有关人员在保护好自己安全的情况</w:t>
      </w:r>
      <w:r>
        <w:rPr>
          <w:spacing w:val="-2"/>
        </w:rPr>
        <w:t>下，除立即处理外，应当立即向本单位负责人报告；单位负责人接到</w:t>
      </w:r>
      <w:r>
        <w:rPr>
          <w:spacing w:val="-4"/>
        </w:rPr>
        <w:t>报告后，应当于 </w:t>
      </w:r>
      <w:r>
        <w:rPr/>
        <w:t>1</w:t>
      </w:r>
      <w:r>
        <w:rPr>
          <w:spacing w:val="-4"/>
        </w:rPr>
        <w:t> 小时内向事故发生地县级以上人民政府安全生产监</w:t>
      </w:r>
      <w:r>
        <w:rPr>
          <w:spacing w:val="-3"/>
        </w:rPr>
        <w:t>督管理部门和环保部门报告。</w:t>
      </w:r>
    </w:p>
    <w:p>
      <w:pPr>
        <w:pStyle w:val="BodyText"/>
        <w:spacing w:line="364" w:lineRule="auto"/>
        <w:ind w:left="741" w:right="715" w:firstLine="559"/>
        <w:jc w:val="both"/>
      </w:pPr>
      <w:r>
        <w:rPr/>
        <w:t>2</w:t>
      </w:r>
      <w:r>
        <w:rPr>
          <w:spacing w:val="-3"/>
        </w:rPr>
        <w:t>、负责确认环境事件的单位，在确认重大</w:t>
      </w:r>
      <w:r>
        <w:rPr/>
        <w:t>(II</w:t>
      </w:r>
      <w:r>
        <w:rPr>
          <w:spacing w:val="-5"/>
        </w:rPr>
        <w:t> 级)环境事件后</w:t>
      </w:r>
      <w:r>
        <w:rPr/>
        <w:t>，1 小时内报告省应急指挥部办公室，特大(Ⅰ级)环境事件立即报告国家</w:t>
      </w:r>
      <w:r>
        <w:rPr>
          <w:spacing w:val="-4"/>
        </w:rPr>
        <w:t>环境保护部。县人民政府应当在接到报告后 </w:t>
      </w:r>
      <w:r>
        <w:rPr/>
        <w:t>1</w:t>
      </w:r>
      <w:r>
        <w:rPr>
          <w:spacing w:val="-4"/>
        </w:rPr>
        <w:t> 小时内向市人民政府和</w:t>
      </w:r>
      <w:r>
        <w:rPr>
          <w:spacing w:val="-1"/>
        </w:rPr>
        <w:t>市环保局报告。</w:t>
      </w:r>
    </w:p>
    <w:p>
      <w:pPr>
        <w:spacing w:after="0" w:line="364" w:lineRule="auto"/>
        <w:jc w:val="both"/>
        <w:sectPr>
          <w:pgSz w:w="11910" w:h="16840"/>
          <w:pgMar w:header="0" w:footer="984" w:top="1580" w:bottom="1180" w:left="960" w:right="980"/>
        </w:sectPr>
      </w:pPr>
    </w:p>
    <w:p>
      <w:pPr>
        <w:pStyle w:val="ListParagraph"/>
        <w:numPr>
          <w:ilvl w:val="1"/>
          <w:numId w:val="9"/>
        </w:numPr>
        <w:tabs>
          <w:tab w:pos="1237" w:val="left" w:leader="none"/>
        </w:tabs>
        <w:spacing w:line="240" w:lineRule="auto" w:before="102" w:after="0"/>
        <w:ind w:left="1236" w:right="0" w:hanging="496"/>
        <w:jc w:val="left"/>
        <w:rPr>
          <w:b/>
          <w:sz w:val="28"/>
        </w:rPr>
      </w:pPr>
      <w:bookmarkStart w:name="_TOC_250031" w:id="37"/>
      <w:bookmarkEnd w:id="37"/>
      <w:r>
        <w:rPr>
          <w:b/>
          <w:sz w:val="28"/>
        </w:rPr>
        <w:t>信息上报</w:t>
      </w:r>
    </w:p>
    <w:p>
      <w:pPr>
        <w:pStyle w:val="BodyText"/>
        <w:spacing w:line="364" w:lineRule="auto" w:before="186"/>
        <w:ind w:left="741" w:right="579" w:firstLine="559"/>
      </w:pPr>
      <w:r>
        <w:rPr/>
        <w:t>突发环境事件的报告分为初报、续报和处理结果报告三类。初报</w:t>
      </w:r>
      <w:r>
        <w:rPr>
          <w:spacing w:val="-9"/>
        </w:rPr>
        <w:t>从发现事件后起 </w:t>
      </w:r>
      <w:r>
        <w:rPr/>
        <w:t>1</w:t>
      </w:r>
      <w:r>
        <w:rPr>
          <w:spacing w:val="-12"/>
        </w:rPr>
        <w:t> 小时内上报；续报在查清有关基本情况后随时上报； </w:t>
      </w:r>
      <w:r>
        <w:rPr>
          <w:spacing w:val="-3"/>
        </w:rPr>
        <w:t>处理结果报告在事件处理完毕后立即上报。报告应采用适当方式，避免给当地群众造成不利影响。</w:t>
      </w:r>
    </w:p>
    <w:p>
      <w:pPr>
        <w:pStyle w:val="BodyText"/>
        <w:spacing w:line="357" w:lineRule="exact"/>
        <w:ind w:left="1300"/>
      </w:pPr>
      <w:r>
        <w:rPr/>
        <w:t>1、办公室负责对事故进行调查和报告；</w:t>
      </w:r>
    </w:p>
    <w:p>
      <w:pPr>
        <w:pStyle w:val="BodyText"/>
        <w:spacing w:line="364" w:lineRule="auto" w:before="184"/>
        <w:ind w:left="741" w:right="716" w:firstLine="559"/>
        <w:jc w:val="both"/>
      </w:pPr>
      <w:r>
        <w:rPr/>
        <w:t>2</w:t>
      </w:r>
      <w:r>
        <w:rPr>
          <w:spacing w:val="-10"/>
        </w:rPr>
        <w:t>、发生严重污染事故，事故发生单位应立即在 </w:t>
      </w:r>
      <w:r>
        <w:rPr/>
        <w:t>1</w:t>
      </w:r>
      <w:r>
        <w:rPr>
          <w:spacing w:val="-11"/>
        </w:rPr>
        <w:t> 小时内以电话或派专人报告滨海区环保分局、潍坊市环保局，5－10</w:t>
      </w:r>
      <w:r>
        <w:rPr>
          <w:spacing w:val="-9"/>
        </w:rPr>
        <w:t> 日内以书面方式上</w:t>
      </w:r>
      <w:r>
        <w:rPr>
          <w:spacing w:val="-3"/>
        </w:rPr>
        <w:t>报，事故处理完毕后应及时书面报告处理结果；</w:t>
      </w:r>
    </w:p>
    <w:p>
      <w:pPr>
        <w:pStyle w:val="BodyText"/>
        <w:spacing w:line="364" w:lineRule="auto"/>
        <w:ind w:left="741" w:right="576" w:firstLine="559"/>
      </w:pPr>
      <w:r>
        <w:rPr>
          <w:spacing w:val="-15"/>
        </w:rPr>
        <w:t>发生一般</w:t>
      </w:r>
      <w:r>
        <w:rPr/>
        <w:t>（</w:t>
      </w:r>
      <w:r>
        <w:rPr>
          <w:spacing w:val="-2"/>
        </w:rPr>
        <w:t>三级</w:t>
      </w:r>
      <w:r>
        <w:rPr>
          <w:spacing w:val="-60"/>
        </w:rPr>
        <w:t>）</w:t>
      </w:r>
      <w:r>
        <w:rPr>
          <w:spacing w:val="-14"/>
        </w:rPr>
        <w:t>事故时，事故发生单位应在 </w:t>
      </w:r>
      <w:r>
        <w:rPr/>
        <w:t>10</w:t>
      </w:r>
      <w:r>
        <w:rPr>
          <w:spacing w:val="-10"/>
        </w:rPr>
        <w:t> 分钟内完成初报， 15</w:t>
      </w:r>
      <w:r>
        <w:rPr>
          <w:spacing w:val="-4"/>
        </w:rPr>
        <w:t> 分钟内完成向乡镇政府相关行政部门的上报</w:t>
      </w:r>
      <w:r>
        <w:rPr/>
        <w:t>，1</w:t>
      </w:r>
      <w:r>
        <w:rPr>
          <w:spacing w:val="-4"/>
        </w:rPr>
        <w:t> 小时内完成书面报</w:t>
      </w:r>
      <w:r>
        <w:rPr>
          <w:spacing w:val="-5"/>
        </w:rPr>
        <w:t>告；发生较大</w:t>
      </w:r>
      <w:r>
        <w:rPr/>
        <w:t>（</w:t>
      </w:r>
      <w:r>
        <w:rPr>
          <w:spacing w:val="-2"/>
        </w:rPr>
        <w:t>二级</w:t>
      </w:r>
      <w:r>
        <w:rPr>
          <w:spacing w:val="-10"/>
        </w:rPr>
        <w:t>）</w:t>
      </w:r>
      <w:r>
        <w:rPr>
          <w:spacing w:val="-8"/>
        </w:rPr>
        <w:t>事故时，事故发生单位负责人应在 </w:t>
      </w:r>
      <w:r>
        <w:rPr/>
        <w:t>15</w:t>
      </w:r>
      <w:r>
        <w:rPr>
          <w:spacing w:val="-15"/>
        </w:rPr>
        <w:t> 分钟内完成初报，20</w:t>
      </w:r>
      <w:r>
        <w:rPr>
          <w:spacing w:val="-5"/>
        </w:rPr>
        <w:t> 分钟完成向应急指挥部和市政府的报告</w:t>
      </w:r>
      <w:r>
        <w:rPr/>
        <w:t>，1</w:t>
      </w:r>
      <w:r>
        <w:rPr>
          <w:spacing w:val="-4"/>
        </w:rPr>
        <w:t> 小时内完成事</w:t>
      </w:r>
      <w:r>
        <w:rPr>
          <w:spacing w:val="-6"/>
        </w:rPr>
        <w:t>故书面报告；发生重大</w:t>
      </w:r>
      <w:r>
        <w:rPr/>
        <w:t>（</w:t>
      </w:r>
      <w:r>
        <w:rPr>
          <w:spacing w:val="-2"/>
        </w:rPr>
        <w:t>三级</w:t>
      </w:r>
      <w:r>
        <w:rPr>
          <w:spacing w:val="-8"/>
        </w:rPr>
        <w:t>）</w:t>
      </w:r>
      <w:r>
        <w:rPr>
          <w:spacing w:val="-13"/>
        </w:rPr>
        <w:t>事故时，应在 </w:t>
      </w:r>
      <w:r>
        <w:rPr/>
        <w:t>20</w:t>
      </w:r>
      <w:r>
        <w:rPr>
          <w:spacing w:val="-11"/>
        </w:rPr>
        <w:t> 分钟内完成初报，</w:t>
      </w:r>
      <w:r>
        <w:rPr>
          <w:spacing w:val="-3"/>
        </w:rPr>
        <w:t>30 分钟完成向应急指挥部和市政府的报告</w:t>
      </w:r>
      <w:r>
        <w:rPr/>
        <w:t>，2</w:t>
      </w:r>
      <w:r>
        <w:rPr>
          <w:spacing w:val="-8"/>
        </w:rPr>
        <w:t> 小时内完成事故书面报告；</w:t>
      </w:r>
    </w:p>
    <w:p>
      <w:pPr>
        <w:pStyle w:val="BodyText"/>
        <w:spacing w:line="356" w:lineRule="exact"/>
        <w:ind w:left="1300"/>
      </w:pPr>
      <w:r>
        <w:rPr/>
        <w:t>3、初报可用电话直接报告，主要内容包括：</w:t>
      </w:r>
    </w:p>
    <w:p>
      <w:pPr>
        <w:pStyle w:val="ListParagraph"/>
        <w:numPr>
          <w:ilvl w:val="0"/>
          <w:numId w:val="29"/>
        </w:numPr>
        <w:tabs>
          <w:tab w:pos="2003" w:val="left" w:leader="none"/>
        </w:tabs>
        <w:spacing w:line="240" w:lineRule="auto" w:before="184" w:after="0"/>
        <w:ind w:left="2002" w:right="0" w:hanging="703"/>
        <w:jc w:val="left"/>
        <w:rPr>
          <w:sz w:val="28"/>
        </w:rPr>
      </w:pPr>
      <w:r>
        <w:rPr>
          <w:spacing w:val="-3"/>
          <w:sz w:val="28"/>
        </w:rPr>
        <w:t>发生环境事件单位概况；</w:t>
      </w:r>
    </w:p>
    <w:p>
      <w:pPr>
        <w:pStyle w:val="ListParagraph"/>
        <w:numPr>
          <w:ilvl w:val="0"/>
          <w:numId w:val="29"/>
        </w:numPr>
        <w:tabs>
          <w:tab w:pos="2003" w:val="left" w:leader="none"/>
        </w:tabs>
        <w:spacing w:line="364" w:lineRule="auto" w:before="186" w:after="0"/>
        <w:ind w:left="741" w:right="713" w:firstLine="559"/>
        <w:jc w:val="left"/>
        <w:rPr>
          <w:sz w:val="28"/>
        </w:rPr>
      </w:pPr>
      <w:r>
        <w:rPr>
          <w:spacing w:val="-5"/>
          <w:sz w:val="28"/>
        </w:rPr>
        <w:t>环境事件发生的时间、地点以及污染源、主要污染物质、人</w:t>
      </w:r>
      <w:r>
        <w:rPr>
          <w:spacing w:val="-4"/>
          <w:sz w:val="28"/>
        </w:rPr>
        <w:t>员受害情况。</w:t>
      </w:r>
    </w:p>
    <w:p>
      <w:pPr>
        <w:pStyle w:val="ListParagraph"/>
        <w:numPr>
          <w:ilvl w:val="0"/>
          <w:numId w:val="29"/>
        </w:numPr>
        <w:tabs>
          <w:tab w:pos="2003" w:val="left" w:leader="none"/>
        </w:tabs>
        <w:spacing w:line="358" w:lineRule="exact" w:before="0" w:after="0"/>
        <w:ind w:left="2002" w:right="0" w:hanging="703"/>
        <w:jc w:val="left"/>
        <w:rPr>
          <w:sz w:val="28"/>
        </w:rPr>
      </w:pPr>
      <w:r>
        <w:rPr>
          <w:spacing w:val="-2"/>
          <w:sz w:val="28"/>
        </w:rPr>
        <w:t>环境事件的简要经过；</w:t>
      </w:r>
    </w:p>
    <w:p>
      <w:pPr>
        <w:pStyle w:val="ListParagraph"/>
        <w:numPr>
          <w:ilvl w:val="0"/>
          <w:numId w:val="29"/>
        </w:numPr>
        <w:tabs>
          <w:tab w:pos="2003" w:val="left" w:leader="none"/>
        </w:tabs>
        <w:spacing w:line="240" w:lineRule="auto" w:before="186" w:after="0"/>
        <w:ind w:left="2002" w:right="0" w:hanging="703"/>
        <w:jc w:val="left"/>
        <w:rPr>
          <w:sz w:val="28"/>
        </w:rPr>
      </w:pPr>
      <w:r>
        <w:rPr>
          <w:spacing w:val="-3"/>
          <w:sz w:val="28"/>
        </w:rPr>
        <w:t>事件潜在的危害程度、转化方式趋向等初步情况。</w:t>
      </w:r>
    </w:p>
    <w:p>
      <w:pPr>
        <w:pStyle w:val="ListParagraph"/>
        <w:numPr>
          <w:ilvl w:val="0"/>
          <w:numId w:val="29"/>
        </w:numPr>
        <w:tabs>
          <w:tab w:pos="2003" w:val="left" w:leader="none"/>
        </w:tabs>
        <w:spacing w:line="240" w:lineRule="auto" w:before="187" w:after="0"/>
        <w:ind w:left="2002" w:right="0" w:hanging="703"/>
        <w:jc w:val="left"/>
        <w:rPr>
          <w:sz w:val="28"/>
        </w:rPr>
      </w:pPr>
      <w:r>
        <w:rPr>
          <w:spacing w:val="-2"/>
          <w:sz w:val="28"/>
        </w:rPr>
        <w:t>已经采取的措施；</w:t>
      </w:r>
    </w:p>
    <w:p>
      <w:pPr>
        <w:pStyle w:val="ListParagraph"/>
        <w:numPr>
          <w:ilvl w:val="0"/>
          <w:numId w:val="29"/>
        </w:numPr>
        <w:tabs>
          <w:tab w:pos="2003" w:val="left" w:leader="none"/>
        </w:tabs>
        <w:spacing w:line="240" w:lineRule="auto" w:before="186" w:after="0"/>
        <w:ind w:left="2002" w:right="0" w:hanging="703"/>
        <w:jc w:val="left"/>
        <w:rPr>
          <w:sz w:val="28"/>
        </w:rPr>
      </w:pPr>
      <w:r>
        <w:rPr>
          <w:spacing w:val="-2"/>
          <w:sz w:val="28"/>
        </w:rPr>
        <w:t>其他应当报告的情况。</w:t>
      </w:r>
    </w:p>
    <w:p>
      <w:pPr>
        <w:pStyle w:val="BodyText"/>
        <w:spacing w:line="364" w:lineRule="auto" w:before="186"/>
        <w:ind w:left="741" w:right="663" w:firstLine="559"/>
      </w:pPr>
      <w:r>
        <w:rPr/>
        <w:t>4、续报可通过网络或书面报告，主要内容包括：在初报的基础上报告有关确切数据和事件发生的原因、过程、进展情况及采取的应急</w:t>
      </w:r>
    </w:p>
    <w:p>
      <w:pPr>
        <w:spacing w:after="0" w:line="364" w:lineRule="auto"/>
        <w:sectPr>
          <w:pgSz w:w="11910" w:h="16840"/>
          <w:pgMar w:header="0" w:footer="984" w:top="1580" w:bottom="1180" w:left="960" w:right="980"/>
        </w:sectPr>
      </w:pPr>
    </w:p>
    <w:p>
      <w:pPr>
        <w:pStyle w:val="BodyText"/>
        <w:spacing w:before="102"/>
        <w:ind w:left="741"/>
      </w:pPr>
      <w:r>
        <w:rPr>
          <w:spacing w:val="-2"/>
        </w:rPr>
        <w:t>措施等基本情况。</w:t>
      </w:r>
    </w:p>
    <w:p>
      <w:pPr>
        <w:pStyle w:val="BodyText"/>
        <w:spacing w:line="364" w:lineRule="auto" w:before="186"/>
        <w:ind w:left="741" w:right="716" w:firstLine="559"/>
        <w:jc w:val="both"/>
      </w:pPr>
      <w:r>
        <w:rPr/>
        <w:t>5</w:t>
      </w:r>
      <w:r>
        <w:rPr>
          <w:spacing w:val="-7"/>
        </w:rPr>
        <w:t>、事故发生单位负责人接到事故报告后，应当立即启动事故相应</w:t>
      </w:r>
      <w:r>
        <w:rPr/>
        <w:t>应急预案，或者采取有效措施，组织抢救，防止事故扩大，减少人员</w:t>
      </w:r>
      <w:r>
        <w:rPr>
          <w:spacing w:val="-2"/>
        </w:rPr>
        <w:t>伤亡和财产损失。</w:t>
      </w:r>
    </w:p>
    <w:p>
      <w:pPr>
        <w:pStyle w:val="BodyText"/>
        <w:spacing w:line="364" w:lineRule="auto"/>
        <w:ind w:left="741" w:right="663" w:firstLine="559"/>
      </w:pPr>
      <w:r>
        <w:rPr/>
        <w:t>6、事故发生后，有关单位和人员应当妥善保护事故现场以及相关证据，任何单位和个人不得破坏事故现场、毁灭相关证据。</w:t>
      </w:r>
    </w:p>
    <w:p>
      <w:pPr>
        <w:pStyle w:val="BodyText"/>
        <w:spacing w:line="364" w:lineRule="auto"/>
        <w:ind w:left="741" w:right="716" w:firstLine="559"/>
        <w:jc w:val="both"/>
      </w:pPr>
      <w:r>
        <w:rPr/>
        <w:t>7</w:t>
      </w:r>
      <w:r>
        <w:rPr>
          <w:spacing w:val="-7"/>
        </w:rPr>
        <w:t>、因抢救人员、防止事故扩大以及疏通交通等原因，需要移动事</w:t>
      </w:r>
      <w:r>
        <w:rPr>
          <w:spacing w:val="-2"/>
        </w:rPr>
        <w:t>故现场物件的，应当做出标志，绘制现场简图并做出书面记录，妥善</w:t>
      </w:r>
      <w:r>
        <w:rPr>
          <w:spacing w:val="-3"/>
        </w:rPr>
        <w:t>保存现场重要痕迹、物证。</w:t>
      </w:r>
    </w:p>
    <w:p>
      <w:pPr>
        <w:pStyle w:val="BodyText"/>
        <w:spacing w:line="364" w:lineRule="auto"/>
        <w:ind w:left="741" w:right="716" w:firstLine="559"/>
        <w:jc w:val="both"/>
      </w:pPr>
      <w:r>
        <w:rPr/>
        <w:t>8</w:t>
      </w:r>
      <w:r>
        <w:rPr>
          <w:spacing w:val="-8"/>
        </w:rPr>
        <w:t>、处理结果报告采用书面报告。处理结果报告在初报和续报的基</w:t>
      </w:r>
      <w:r>
        <w:rPr/>
        <w:t>础上，报告处理事件的措施、过程和结果，事件潜在或间接的危害、社会影响、处理后的遗留问题，参加处理的有关部门和工作内容，出</w:t>
      </w:r>
      <w:r>
        <w:rPr>
          <w:spacing w:val="-3"/>
        </w:rPr>
        <w:t>具有关危害与损失的证明文件等详细情况。</w:t>
      </w:r>
    </w:p>
    <w:p>
      <w:pPr>
        <w:spacing w:line="357" w:lineRule="exact" w:before="0"/>
        <w:ind w:left="3386" w:right="0" w:firstLine="0"/>
        <w:jc w:val="left"/>
        <w:rPr>
          <w:b/>
          <w:sz w:val="28"/>
        </w:rPr>
      </w:pPr>
      <w:r>
        <w:rPr>
          <w:b/>
          <w:sz w:val="28"/>
        </w:rPr>
        <w:t>6-3-1 突发环境污染事件报告表</w:t>
      </w:r>
    </w:p>
    <w:p>
      <w:pPr>
        <w:pStyle w:val="BodyText"/>
        <w:spacing w:before="2"/>
        <w:rPr>
          <w:b/>
          <w:sz w:val="14"/>
        </w:rPr>
      </w:pPr>
    </w:p>
    <w:tbl>
      <w:tblPr>
        <w:tblW w:w="0" w:type="auto"/>
        <w:jc w:val="left"/>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6"/>
        <w:gridCol w:w="2121"/>
        <w:gridCol w:w="1003"/>
        <w:gridCol w:w="617"/>
        <w:gridCol w:w="720"/>
        <w:gridCol w:w="2431"/>
      </w:tblGrid>
      <w:tr>
        <w:trPr>
          <w:trHeight w:val="690" w:hRule="atLeast"/>
        </w:trPr>
        <w:tc>
          <w:tcPr>
            <w:tcW w:w="1946" w:type="dxa"/>
          </w:tcPr>
          <w:p>
            <w:pPr>
              <w:pStyle w:val="TableParagraph"/>
              <w:spacing w:before="4"/>
              <w:jc w:val="left"/>
              <w:rPr>
                <w:b/>
                <w:sz w:val="16"/>
              </w:rPr>
            </w:pPr>
          </w:p>
          <w:p>
            <w:pPr>
              <w:pStyle w:val="TableParagraph"/>
              <w:spacing w:before="1"/>
              <w:ind w:left="321" w:right="314"/>
              <w:rPr>
                <w:sz w:val="21"/>
              </w:rPr>
            </w:pPr>
            <w:r>
              <w:rPr>
                <w:sz w:val="21"/>
              </w:rPr>
              <w:t>事件发生单位</w:t>
            </w:r>
          </w:p>
        </w:tc>
        <w:tc>
          <w:tcPr>
            <w:tcW w:w="3124" w:type="dxa"/>
            <w:gridSpan w:val="2"/>
          </w:tcPr>
          <w:p>
            <w:pPr>
              <w:pStyle w:val="TableParagraph"/>
              <w:spacing w:before="4"/>
              <w:jc w:val="left"/>
              <w:rPr>
                <w:b/>
                <w:sz w:val="16"/>
              </w:rPr>
            </w:pPr>
          </w:p>
          <w:p>
            <w:pPr>
              <w:pStyle w:val="TableParagraph"/>
              <w:spacing w:before="1"/>
              <w:ind w:left="509"/>
              <w:jc w:val="left"/>
              <w:rPr>
                <w:sz w:val="21"/>
              </w:rPr>
            </w:pPr>
            <w:r>
              <w:rPr>
                <w:sz w:val="21"/>
              </w:rPr>
              <w:t>潍坊中汇化工有限公司</w:t>
            </w:r>
          </w:p>
        </w:tc>
        <w:tc>
          <w:tcPr>
            <w:tcW w:w="1337" w:type="dxa"/>
            <w:gridSpan w:val="2"/>
          </w:tcPr>
          <w:p>
            <w:pPr>
              <w:pStyle w:val="TableParagraph"/>
              <w:spacing w:before="4"/>
              <w:jc w:val="left"/>
              <w:rPr>
                <w:b/>
                <w:sz w:val="16"/>
              </w:rPr>
            </w:pPr>
          </w:p>
          <w:p>
            <w:pPr>
              <w:pStyle w:val="TableParagraph"/>
              <w:spacing w:before="1"/>
              <w:ind w:left="248"/>
              <w:jc w:val="left"/>
              <w:rPr>
                <w:sz w:val="21"/>
              </w:rPr>
            </w:pPr>
            <w:r>
              <w:rPr>
                <w:sz w:val="21"/>
              </w:rPr>
              <w:t>事件时间</w:t>
            </w:r>
          </w:p>
        </w:tc>
        <w:tc>
          <w:tcPr>
            <w:tcW w:w="2431" w:type="dxa"/>
          </w:tcPr>
          <w:p>
            <w:pPr>
              <w:pStyle w:val="TableParagraph"/>
              <w:jc w:val="left"/>
              <w:rPr>
                <w:rFonts w:ascii="Times New Roman"/>
                <w:sz w:val="26"/>
              </w:rPr>
            </w:pPr>
          </w:p>
        </w:tc>
      </w:tr>
      <w:tr>
        <w:trPr>
          <w:trHeight w:val="697" w:hRule="atLeast"/>
        </w:trPr>
        <w:tc>
          <w:tcPr>
            <w:tcW w:w="1946" w:type="dxa"/>
          </w:tcPr>
          <w:p>
            <w:pPr>
              <w:pStyle w:val="TableParagraph"/>
              <w:spacing w:before="9"/>
              <w:jc w:val="left"/>
              <w:rPr>
                <w:b/>
                <w:sz w:val="16"/>
              </w:rPr>
            </w:pPr>
          </w:p>
          <w:p>
            <w:pPr>
              <w:pStyle w:val="TableParagraph"/>
              <w:ind w:left="321" w:right="312"/>
              <w:rPr>
                <w:sz w:val="21"/>
              </w:rPr>
            </w:pPr>
            <w:r>
              <w:rPr>
                <w:sz w:val="21"/>
              </w:rPr>
              <w:t>事件简题</w:t>
            </w:r>
          </w:p>
        </w:tc>
        <w:tc>
          <w:tcPr>
            <w:tcW w:w="6892" w:type="dxa"/>
            <w:gridSpan w:val="5"/>
          </w:tcPr>
          <w:p>
            <w:pPr>
              <w:pStyle w:val="TableParagraph"/>
              <w:jc w:val="left"/>
              <w:rPr>
                <w:rFonts w:ascii="Times New Roman"/>
                <w:sz w:val="26"/>
              </w:rPr>
            </w:pPr>
          </w:p>
        </w:tc>
      </w:tr>
      <w:tr>
        <w:trPr>
          <w:trHeight w:val="1237" w:hRule="atLeast"/>
        </w:trPr>
        <w:tc>
          <w:tcPr>
            <w:tcW w:w="8838" w:type="dxa"/>
            <w:gridSpan w:val="6"/>
          </w:tcPr>
          <w:p>
            <w:pPr>
              <w:pStyle w:val="TableParagraph"/>
              <w:spacing w:before="1"/>
              <w:ind w:left="107"/>
              <w:jc w:val="left"/>
              <w:rPr>
                <w:sz w:val="21"/>
              </w:rPr>
            </w:pPr>
            <w:r>
              <w:rPr>
                <w:spacing w:val="-1"/>
                <w:w w:val="100"/>
                <w:sz w:val="21"/>
              </w:rPr>
              <w:t>事件经过</w:t>
            </w:r>
            <w:r>
              <w:rPr>
                <w:spacing w:val="-3"/>
                <w:w w:val="100"/>
                <w:sz w:val="21"/>
              </w:rPr>
              <w:t>（事件发生、扩大和采取的措施、初步原因判断</w:t>
            </w:r>
            <w:r>
              <w:rPr>
                <w:spacing w:val="-106"/>
                <w:w w:val="100"/>
                <w:sz w:val="21"/>
              </w:rPr>
              <w:t>）</w:t>
            </w:r>
            <w:r>
              <w:rPr>
                <w:w w:val="100"/>
                <w:sz w:val="21"/>
              </w:rPr>
              <w:t>：</w:t>
            </w:r>
          </w:p>
        </w:tc>
      </w:tr>
      <w:tr>
        <w:trPr>
          <w:trHeight w:val="964" w:hRule="atLeast"/>
        </w:trPr>
        <w:tc>
          <w:tcPr>
            <w:tcW w:w="8838" w:type="dxa"/>
            <w:gridSpan w:val="6"/>
          </w:tcPr>
          <w:p>
            <w:pPr>
              <w:pStyle w:val="TableParagraph"/>
              <w:spacing w:before="1"/>
              <w:ind w:left="107"/>
              <w:jc w:val="left"/>
              <w:rPr>
                <w:sz w:val="21"/>
              </w:rPr>
            </w:pPr>
            <w:r>
              <w:rPr>
                <w:sz w:val="21"/>
              </w:rPr>
              <w:t>事件后果（环境污染程度、财产损失或者可能造成的社会不良影响等）的初步估算：</w:t>
            </w:r>
          </w:p>
        </w:tc>
      </w:tr>
      <w:tr>
        <w:trPr>
          <w:trHeight w:val="961" w:hRule="atLeast"/>
        </w:trPr>
        <w:tc>
          <w:tcPr>
            <w:tcW w:w="8838" w:type="dxa"/>
            <w:gridSpan w:val="6"/>
          </w:tcPr>
          <w:p>
            <w:pPr>
              <w:pStyle w:val="TableParagraph"/>
              <w:spacing w:before="1"/>
              <w:ind w:left="107"/>
              <w:jc w:val="left"/>
              <w:rPr>
                <w:sz w:val="21"/>
              </w:rPr>
            </w:pPr>
            <w:r>
              <w:rPr>
                <w:sz w:val="21"/>
              </w:rPr>
              <w:t>请求支持的内容：</w:t>
            </w:r>
          </w:p>
        </w:tc>
      </w:tr>
      <w:tr>
        <w:trPr>
          <w:trHeight w:val="525" w:hRule="atLeast"/>
        </w:trPr>
        <w:tc>
          <w:tcPr>
            <w:tcW w:w="1946" w:type="dxa"/>
          </w:tcPr>
          <w:p>
            <w:pPr>
              <w:pStyle w:val="TableParagraph"/>
              <w:spacing w:before="128"/>
              <w:ind w:left="321" w:right="312"/>
              <w:rPr>
                <w:sz w:val="21"/>
              </w:rPr>
            </w:pPr>
            <w:r>
              <w:rPr>
                <w:sz w:val="21"/>
              </w:rPr>
              <w:t>填报人姓名</w:t>
            </w:r>
          </w:p>
        </w:tc>
        <w:tc>
          <w:tcPr>
            <w:tcW w:w="2121" w:type="dxa"/>
          </w:tcPr>
          <w:p>
            <w:pPr>
              <w:pStyle w:val="TableParagraph"/>
              <w:jc w:val="left"/>
              <w:rPr>
                <w:rFonts w:ascii="Times New Roman"/>
                <w:sz w:val="26"/>
              </w:rPr>
            </w:pPr>
          </w:p>
        </w:tc>
        <w:tc>
          <w:tcPr>
            <w:tcW w:w="1620" w:type="dxa"/>
            <w:gridSpan w:val="2"/>
          </w:tcPr>
          <w:p>
            <w:pPr>
              <w:pStyle w:val="TableParagraph"/>
              <w:spacing w:before="128"/>
              <w:ind w:left="579" w:right="570"/>
              <w:rPr>
                <w:sz w:val="21"/>
              </w:rPr>
            </w:pPr>
            <w:r>
              <w:rPr>
                <w:sz w:val="21"/>
              </w:rPr>
              <w:t>单位</w:t>
            </w:r>
          </w:p>
        </w:tc>
        <w:tc>
          <w:tcPr>
            <w:tcW w:w="3151" w:type="dxa"/>
            <w:gridSpan w:val="2"/>
          </w:tcPr>
          <w:p>
            <w:pPr>
              <w:pStyle w:val="TableParagraph"/>
              <w:spacing w:before="128"/>
              <w:ind w:left="524"/>
              <w:jc w:val="left"/>
              <w:rPr>
                <w:sz w:val="21"/>
              </w:rPr>
            </w:pPr>
            <w:r>
              <w:rPr>
                <w:sz w:val="21"/>
              </w:rPr>
              <w:t>潍坊中汇化工有限公司</w:t>
            </w:r>
          </w:p>
        </w:tc>
      </w:tr>
      <w:tr>
        <w:trPr>
          <w:trHeight w:val="501" w:hRule="atLeast"/>
        </w:trPr>
        <w:tc>
          <w:tcPr>
            <w:tcW w:w="1946" w:type="dxa"/>
          </w:tcPr>
          <w:p>
            <w:pPr>
              <w:pStyle w:val="TableParagraph"/>
              <w:spacing w:before="116"/>
              <w:ind w:left="321" w:right="312"/>
              <w:rPr>
                <w:sz w:val="21"/>
              </w:rPr>
            </w:pPr>
            <w:r>
              <w:rPr>
                <w:sz w:val="21"/>
              </w:rPr>
              <w:t>联系方式</w:t>
            </w:r>
          </w:p>
        </w:tc>
        <w:tc>
          <w:tcPr>
            <w:tcW w:w="2121" w:type="dxa"/>
          </w:tcPr>
          <w:p>
            <w:pPr>
              <w:pStyle w:val="TableParagraph"/>
              <w:jc w:val="left"/>
              <w:rPr>
                <w:rFonts w:ascii="Times New Roman"/>
                <w:sz w:val="26"/>
              </w:rPr>
            </w:pPr>
          </w:p>
        </w:tc>
        <w:tc>
          <w:tcPr>
            <w:tcW w:w="1620" w:type="dxa"/>
            <w:gridSpan w:val="2"/>
          </w:tcPr>
          <w:p>
            <w:pPr>
              <w:pStyle w:val="TableParagraph"/>
              <w:spacing w:before="116"/>
              <w:ind w:left="389"/>
              <w:jc w:val="left"/>
              <w:rPr>
                <w:sz w:val="21"/>
              </w:rPr>
            </w:pPr>
            <w:r>
              <w:rPr>
                <w:sz w:val="21"/>
              </w:rPr>
              <w:t>信息来源</w:t>
            </w:r>
          </w:p>
        </w:tc>
        <w:tc>
          <w:tcPr>
            <w:tcW w:w="3151" w:type="dxa"/>
            <w:gridSpan w:val="2"/>
          </w:tcPr>
          <w:p>
            <w:pPr>
              <w:pStyle w:val="TableParagraph"/>
              <w:jc w:val="left"/>
              <w:rPr>
                <w:rFonts w:ascii="Times New Roman"/>
                <w:sz w:val="26"/>
              </w:rPr>
            </w:pPr>
          </w:p>
        </w:tc>
      </w:tr>
    </w:tbl>
    <w:p>
      <w:pPr>
        <w:spacing w:after="0"/>
        <w:jc w:val="left"/>
        <w:rPr>
          <w:rFonts w:ascii="Times New Roman"/>
          <w:sz w:val="26"/>
        </w:rPr>
        <w:sectPr>
          <w:pgSz w:w="11910" w:h="16840"/>
          <w:pgMar w:header="0" w:footer="984" w:top="1580" w:bottom="1180" w:left="960" w:right="980"/>
        </w:sectPr>
      </w:pPr>
    </w:p>
    <w:p>
      <w:pPr>
        <w:pStyle w:val="ListParagraph"/>
        <w:numPr>
          <w:ilvl w:val="1"/>
          <w:numId w:val="9"/>
        </w:numPr>
        <w:tabs>
          <w:tab w:pos="1237" w:val="left" w:leader="none"/>
        </w:tabs>
        <w:spacing w:line="240" w:lineRule="auto" w:before="102" w:after="0"/>
        <w:ind w:left="1236" w:right="0" w:hanging="496"/>
        <w:jc w:val="both"/>
        <w:rPr>
          <w:b/>
          <w:sz w:val="28"/>
        </w:rPr>
      </w:pPr>
      <w:bookmarkStart w:name="_TOC_250030" w:id="38"/>
      <w:bookmarkEnd w:id="38"/>
      <w:r>
        <w:rPr>
          <w:b/>
          <w:sz w:val="28"/>
        </w:rPr>
        <w:t>信息通报</w:t>
      </w:r>
    </w:p>
    <w:p>
      <w:pPr>
        <w:pStyle w:val="BodyText"/>
        <w:spacing w:line="364" w:lineRule="auto" w:before="186"/>
        <w:ind w:left="741" w:right="716" w:firstLine="559"/>
        <w:jc w:val="both"/>
      </w:pPr>
      <w:r>
        <w:rPr/>
        <w:t>新闻发布：若事故造成重大或是特别重大的社会影响、造成人员伤亡的，公司将向上级部门和新闻媒体公布真实情况，并做好事故善后工作。公司必须接受社会各界人员的监督，相关部门的审核。</w:t>
      </w:r>
    </w:p>
    <w:p>
      <w:pPr>
        <w:pStyle w:val="BodyText"/>
        <w:rPr>
          <w:sz w:val="20"/>
        </w:rPr>
      </w:pPr>
    </w:p>
    <w:p>
      <w:pPr>
        <w:pStyle w:val="BodyText"/>
        <w:rPr>
          <w:sz w:val="10"/>
        </w:rPr>
      </w:pPr>
      <w:r>
        <w:rPr/>
        <w:pict>
          <v:shape style="position:absolute;margin-left:77.519997pt;margin-top:8.804996pt;width:133.450pt;height:39.4pt;mso-position-horizontal-relative:page;mso-position-vertical-relative:paragraph;z-index:-251618304;mso-wrap-distance-left:0;mso-wrap-distance-right:0" type="#_x0000_t202" filled="false" stroked="true" strokeweight=".72pt" strokecolor="#000000">
            <v:textbox inset="0,0,0,0">
              <w:txbxContent>
                <w:p>
                  <w:pPr>
                    <w:spacing w:line="242" w:lineRule="auto" w:before="74"/>
                    <w:ind w:left="247" w:right="245" w:firstLine="0"/>
                    <w:jc w:val="left"/>
                    <w:rPr>
                      <w:sz w:val="24"/>
                    </w:rPr>
                  </w:pPr>
                  <w:r>
                    <w:rPr>
                      <w:sz w:val="24"/>
                    </w:rPr>
                    <w:t>通知并组织现场进行抢救、无关人员撤离</w:t>
                  </w:r>
                </w:p>
              </w:txbxContent>
            </v:textbox>
            <v:stroke dashstyle="solid"/>
            <w10:wrap type="topAndBottom"/>
          </v:shape>
        </w:pict>
      </w:r>
      <w:r>
        <w:rPr/>
        <w:pict>
          <v:shape style="position:absolute;margin-left:374.160004pt;margin-top:8.804996pt;width:139.950pt;height:39.4pt;mso-position-horizontal-relative:page;mso-position-vertical-relative:paragraph;z-index:-251617280;mso-wrap-distance-left:0;mso-wrap-distance-right:0" type="#_x0000_t202" filled="false" stroked="true" strokeweight=".72pt" strokecolor="#000000">
            <v:textbox inset="0,0,0,0">
              <w:txbxContent>
                <w:p>
                  <w:pPr>
                    <w:spacing w:line="372" w:lineRule="exact" w:before="17"/>
                    <w:ind w:left="672" w:right="189" w:hanging="480"/>
                    <w:jc w:val="left"/>
                    <w:rPr>
                      <w:rFonts w:ascii="微软雅黑" w:eastAsia="微软雅黑" w:hint="eastAsia"/>
                      <w:sz w:val="24"/>
                    </w:rPr>
                  </w:pPr>
                  <w:r>
                    <w:rPr>
                      <w:sz w:val="24"/>
                    </w:rPr>
                    <w:t>环保局、安监局、其他安全管理</w:t>
                  </w:r>
                  <w:r>
                    <w:rPr>
                      <w:rFonts w:ascii="微软雅黑" w:eastAsia="微软雅黑" w:hint="eastAsia"/>
                      <w:sz w:val="24"/>
                    </w:rPr>
                    <w:t>部门</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96"/>
        <w:ind w:left="520" w:right="0" w:firstLine="0"/>
        <w:jc w:val="center"/>
        <w:rPr>
          <w:b/>
          <w:sz w:val="28"/>
        </w:rPr>
      </w:pPr>
      <w:r>
        <w:rPr/>
        <w:pict>
          <v:group style="position:absolute;margin-left:53.639999pt;margin-top:-104.361084pt;width:175.45pt;height:70.4pt;mso-position-horizontal-relative:page;mso-position-vertical-relative:paragraph;z-index:251702272" coordorigin="1073,-2087" coordsize="3509,1408">
            <v:shape style="position:absolute;left:15020;top:-39250;width:16360;height:2400" coordorigin="15020,-39249" coordsize="16360,2400" path="m1802,-1598l1802,-1319m3766,-1607l3766,-1329e" filled="false" stroked="true" strokeweight=".72pt" strokecolor="#000000">
              <v:path arrowok="t"/>
              <v:stroke dashstyle="solid"/>
            </v:shape>
            <v:shape style="position:absolute;left:2752;top:-2088;width:120;height:461" coordorigin="2753,-2087" coordsize="120,461" path="m2813,-1994l2808,-1991,2806,-1986,2806,-1634,2808,-1629,2813,-1626,2818,-1629,2820,-1634,2820,-1986,2818,-1991,2813,-1994xm2813,-2087l2753,-1967,2806,-1967,2806,-1986,2808,-1991,2813,-1994,2860,-1994,2813,-2087xm2860,-1994l2813,-1994,2818,-1991,2820,-1986,2820,-1967,2873,-1967,2860,-1994xe" filled="true" fillcolor="#000000" stroked="false">
              <v:path arrowok="t"/>
              <v:fill type="solid"/>
            </v:shape>
            <v:line style="position:absolute" from="1800,-1634" to="3780,-1634" stroked="true" strokeweight=".72pt" strokecolor="#000000">
              <v:stroke dashstyle="solid"/>
            </v:line>
            <v:shape style="position:absolute;left:3134;top:-1325;width:1440;height:638" type="#_x0000_t202" filled="false" stroked="true" strokeweight=".72pt" strokecolor="#000000">
              <v:textbox inset="0,0,0,0">
                <w:txbxContent>
                  <w:p>
                    <w:pPr>
                      <w:spacing w:before="77"/>
                      <w:ind w:left="235" w:right="0" w:firstLine="0"/>
                      <w:jc w:val="left"/>
                      <w:rPr>
                        <w:sz w:val="24"/>
                      </w:rPr>
                    </w:pPr>
                    <w:r>
                      <w:rPr>
                        <w:sz w:val="24"/>
                      </w:rPr>
                      <w:t>值班人员</w:t>
                    </w:r>
                  </w:p>
                </w:txbxContent>
              </v:textbox>
              <v:stroke dashstyle="solid"/>
              <w10:wrap type="none"/>
            </v:shape>
            <v:shape style="position:absolute;left:1080;top:-1325;width:1620;height:638" type="#_x0000_t202" filled="false" stroked="true" strokeweight=".72pt" strokecolor="#000000">
              <v:textbox inset="0,0,0,0">
                <w:txbxContent>
                  <w:p>
                    <w:pPr>
                      <w:spacing w:before="67"/>
                      <w:ind w:left="201" w:right="0" w:firstLine="0"/>
                      <w:jc w:val="left"/>
                      <w:rPr>
                        <w:sz w:val="24"/>
                      </w:rPr>
                    </w:pPr>
                    <w:r>
                      <w:rPr>
                        <w:sz w:val="24"/>
                      </w:rPr>
                      <w:t>事故发现人</w:t>
                    </w:r>
                  </w:p>
                </w:txbxContent>
              </v:textbox>
              <v:stroke dashstyle="solid"/>
              <w10:wrap type="none"/>
            </v:shape>
            <w10:wrap type="none"/>
          </v:group>
        </w:pict>
      </w:r>
      <w:r>
        <w:rPr/>
        <w:pict>
          <v:group style="position:absolute;margin-left:188.639999pt;margin-top:-104.361084pt;width:318pt;height:92.55pt;mso-position-horizontal-relative:page;mso-position-vertical-relative:paragraph;z-index:251705344" coordorigin="3773,-2087" coordsize="6360,1851">
            <v:line style="position:absolute" from="8904,-246" to="3797,-246" stroked="true" strokeweight=".72pt" strokecolor="#000000">
              <v:stroke dashstyle="solid"/>
            </v:line>
            <v:shape style="position:absolute;left:6758;top:-1051;width:2206;height:814" coordorigin="6758,-1050" coordsize="2206,814" path="m7584,-990l7570,-998,7464,-1050,7464,-998,6761,-998,6758,-990,6761,-986,6766,-983,7464,-983,7464,-930,7570,-983,7584,-990m8964,-587l8950,-616,8904,-707,8844,-587,8897,-587,8897,-246,8899,-239,8904,-237,8909,-239,8911,-246,8911,-587,8964,-587e" filled="true" fillcolor="#000000" stroked="false">
              <v:path arrowok="t"/>
              <v:fill type="solid"/>
            </v:shape>
            <v:rect style="position:absolute;left:7584;top:-1365;width:2542;height:701" filled="true" fillcolor="#ffffff" stroked="false">
              <v:fill type="solid"/>
            </v:rect>
            <v:line style="position:absolute" from="3780,-710" to="3780,-246" stroked="true" strokeweight=".72pt" strokecolor="#000000">
              <v:stroke dashstyle="solid"/>
            </v:line>
            <v:shape style="position:absolute;left:8858;top:-2088;width:120;height:718" coordorigin="8858,-2087" coordsize="120,718" path="m8918,-1994l8914,-1991,8911,-1986,8911,-1377,8914,-1372,8918,-1370,8923,-1372,8926,-1377,8926,-1986,8923,-1991,8918,-1994xm8918,-2087l8858,-1967,8911,-1967,8911,-1986,8914,-1991,8918,-1994,8965,-1994,8918,-2087xm8965,-1994l8918,-1994,8923,-1991,8926,-1986,8926,-1967,8978,-1967,8965,-1994xe" filled="true" fillcolor="#000000" stroked="false">
              <v:path arrowok="t"/>
              <v:fill type="solid"/>
            </v:shape>
            <v:shape style="position:absolute;left:7584;top:-1365;width:2542;height:701" type="#_x0000_t202" filled="false" stroked="true" strokeweight=".72pt" strokecolor="#000000">
              <v:textbox inset="0,0,0,0">
                <w:txbxContent>
                  <w:p>
                    <w:pPr>
                      <w:spacing w:before="170"/>
                      <w:ind w:left="422" w:right="0" w:firstLine="0"/>
                      <w:jc w:val="left"/>
                      <w:rPr>
                        <w:sz w:val="24"/>
                      </w:rPr>
                    </w:pPr>
                    <w:r>
                      <w:rPr>
                        <w:sz w:val="24"/>
                      </w:rPr>
                      <w:t>总指挥、副指挥</w:t>
                    </w:r>
                  </w:p>
                </w:txbxContent>
              </v:textbox>
              <v:stroke dashstyle="solid"/>
              <w10:wrap type="none"/>
            </v:shape>
            <v:shape style="position:absolute;left:5325;top:-1329;width:1440;height:622" type="#_x0000_t202" filled="false" stroked="true" strokeweight=".72pt" strokecolor="#000000">
              <v:textbox inset="0,0,0,0">
                <w:txbxContent>
                  <w:p>
                    <w:pPr>
                      <w:spacing w:before="72"/>
                      <w:ind w:left="232" w:right="0" w:firstLine="0"/>
                      <w:jc w:val="left"/>
                      <w:rPr>
                        <w:sz w:val="24"/>
                      </w:rPr>
                    </w:pPr>
                    <w:r>
                      <w:rPr>
                        <w:sz w:val="24"/>
                      </w:rPr>
                      <w:t>车间主任</w:t>
                    </w:r>
                  </w:p>
                </w:txbxContent>
              </v:textbox>
              <v:stroke dashstyle="solid"/>
              <w10:wrap type="none"/>
            </v:shape>
            <w10:wrap type="none"/>
          </v:group>
        </w:pict>
      </w:r>
      <w:r>
        <w:rPr/>
        <w:pict>
          <v:shape style="position:absolute;margin-left:134.639999pt;margin-top:-55.761089pt;width:22.1pt;height:6pt;mso-position-horizontal-relative:page;mso-position-vertical-relative:paragraph;z-index:251706368" coordorigin="2693,-1115" coordsize="442,120" path="m3014,-1115l3014,-995,3120,-1048,3036,-1048,3041,-1050,3043,-1055,3041,-1060,3036,-1062,3120,-1062,3014,-1115xm3014,-1062l2700,-1062,2695,-1060,2693,-1055,2695,-1050,2700,-1048,3014,-1048,3014,-1062xm3120,-1062l3036,-1062,3041,-1060,3043,-1055,3041,-1050,3036,-1048,3120,-1048,3134,-1055,3120,-1062xe" filled="true" fillcolor="#000000" stroked="false">
            <v:path arrowok="t"/>
            <v:fill type="solid"/>
            <w10:wrap type="none"/>
          </v:shape>
        </w:pict>
      </w:r>
      <w:r>
        <w:rPr/>
        <w:pict>
          <v:shape style="position:absolute;margin-left:228.360001pt;margin-top:-55.761089pt;width:37.950pt;height:6pt;mso-position-horizontal-relative:page;mso-position-vertical-relative:paragraph;z-index:251707392" coordorigin="4567,-1115" coordsize="759,120" path="m5206,-1115l5206,-995,5311,-1048,5225,-1048,5230,-1050,5232,-1055,5230,-1060,5225,-1062,5311,-1062,5206,-1115xm5206,-1062l4574,-1062,4570,-1060,4567,-1055,4570,-1050,4574,-1048,5206,-1048,5206,-1062xm5311,-1062l5225,-1062,5230,-1060,5232,-1055,5230,-1050,5225,-1048,5311,-1048,5326,-1055,5311,-1062xe" filled="true" fillcolor="#000000" stroked="false">
            <v:path arrowok="t"/>
            <v:fill type="solid"/>
            <w10:wrap type="none"/>
          </v:shape>
        </w:pict>
      </w:r>
      <w:r>
        <w:rPr>
          <w:b/>
          <w:sz w:val="28"/>
        </w:rPr>
        <w:t>事故信息报告程序框图</w:t>
      </w:r>
    </w:p>
    <w:p>
      <w:pPr>
        <w:pStyle w:val="BodyText"/>
        <w:rPr>
          <w:b/>
          <w:sz w:val="20"/>
        </w:rPr>
      </w:pPr>
    </w:p>
    <w:p>
      <w:pPr>
        <w:pStyle w:val="ListParagraph"/>
        <w:numPr>
          <w:ilvl w:val="1"/>
          <w:numId w:val="9"/>
        </w:numPr>
        <w:tabs>
          <w:tab w:pos="1237" w:val="left" w:leader="none"/>
        </w:tabs>
        <w:spacing w:line="240" w:lineRule="auto" w:before="237" w:after="0"/>
        <w:ind w:left="1236" w:right="0" w:hanging="496"/>
        <w:jc w:val="left"/>
        <w:rPr>
          <w:b/>
          <w:sz w:val="28"/>
        </w:rPr>
      </w:pPr>
      <w:bookmarkStart w:name="_TOC_250029" w:id="39"/>
      <w:bookmarkEnd w:id="39"/>
      <w:r>
        <w:rPr>
          <w:b/>
          <w:sz w:val="28"/>
        </w:rPr>
        <w:t>信息公开</w:t>
      </w:r>
    </w:p>
    <w:p>
      <w:pPr>
        <w:pStyle w:val="BodyText"/>
        <w:spacing w:before="186"/>
        <w:ind w:left="1300"/>
      </w:pPr>
      <w:r>
        <w:rPr/>
        <w:t>1、内部员工信息告知的要求</w:t>
      </w:r>
    </w:p>
    <w:p>
      <w:pPr>
        <w:pStyle w:val="ListParagraph"/>
        <w:numPr>
          <w:ilvl w:val="0"/>
          <w:numId w:val="30"/>
        </w:numPr>
        <w:tabs>
          <w:tab w:pos="2003" w:val="left" w:leader="none"/>
        </w:tabs>
        <w:spacing w:line="364" w:lineRule="auto" w:before="186" w:after="0"/>
        <w:ind w:left="741" w:right="716" w:firstLine="559"/>
        <w:jc w:val="left"/>
        <w:rPr>
          <w:sz w:val="28"/>
        </w:rPr>
      </w:pPr>
      <w:r>
        <w:rPr>
          <w:spacing w:val="-5"/>
          <w:sz w:val="28"/>
        </w:rPr>
        <w:t>要对内部员工告知突发事件的情况，及时进行正面引导，齐</w:t>
      </w:r>
      <w:r>
        <w:rPr>
          <w:spacing w:val="-4"/>
          <w:sz w:val="28"/>
        </w:rPr>
        <w:t>心协力，共同应对；</w:t>
      </w:r>
    </w:p>
    <w:p>
      <w:pPr>
        <w:pStyle w:val="ListParagraph"/>
        <w:numPr>
          <w:ilvl w:val="0"/>
          <w:numId w:val="30"/>
        </w:numPr>
        <w:tabs>
          <w:tab w:pos="2003" w:val="left" w:leader="none"/>
        </w:tabs>
        <w:spacing w:line="364" w:lineRule="auto" w:before="0" w:after="0"/>
        <w:ind w:left="741" w:right="716" w:firstLine="559"/>
        <w:jc w:val="left"/>
        <w:rPr>
          <w:sz w:val="28"/>
        </w:rPr>
      </w:pPr>
      <w:r>
        <w:rPr>
          <w:spacing w:val="-5"/>
          <w:sz w:val="28"/>
        </w:rPr>
        <w:t>主要采用公司的内部网站、内部宣传材料或内部信息沟通 会等方式；</w:t>
      </w:r>
    </w:p>
    <w:p>
      <w:pPr>
        <w:pStyle w:val="ListParagraph"/>
        <w:numPr>
          <w:ilvl w:val="0"/>
          <w:numId w:val="30"/>
        </w:numPr>
        <w:tabs>
          <w:tab w:pos="2003" w:val="left" w:leader="none"/>
        </w:tabs>
        <w:spacing w:line="364" w:lineRule="auto" w:before="0" w:after="0"/>
        <w:ind w:left="741" w:right="716" w:firstLine="559"/>
        <w:jc w:val="both"/>
        <w:rPr>
          <w:sz w:val="28"/>
        </w:rPr>
      </w:pPr>
      <w:r>
        <w:rPr>
          <w:spacing w:val="-5"/>
          <w:sz w:val="28"/>
        </w:rPr>
        <w:t>做好对内部员工的宣传引导工作，注意收集员工对事件的反</w:t>
      </w:r>
      <w:r>
        <w:rPr>
          <w:sz w:val="28"/>
        </w:rPr>
        <w:t>应、意见及建议。员工不得对外披露或内部传播与公司告知不相符的内容。</w:t>
      </w:r>
    </w:p>
    <w:p>
      <w:pPr>
        <w:pStyle w:val="BodyText"/>
        <w:spacing w:line="357" w:lineRule="exact"/>
        <w:ind w:left="1300"/>
      </w:pPr>
      <w:r>
        <w:rPr/>
        <w:t>2、受突发事件影响的相关方的告知要求</w:t>
      </w:r>
    </w:p>
    <w:p>
      <w:pPr>
        <w:pStyle w:val="BodyText"/>
        <w:spacing w:line="364" w:lineRule="auto" w:before="184"/>
        <w:ind w:left="741" w:right="716" w:firstLine="559"/>
        <w:jc w:val="both"/>
      </w:pPr>
      <w:r>
        <w:rPr/>
        <w:t>当发生事故，公司应尽可能及时向受到影响的相关方（周边可能受到影响的居民、企事业单位等）告知有关情况，包括事故性质、对安全或健康的影响、自我保护措施、注意事项、事件已造成或者可能</w:t>
      </w:r>
    </w:p>
    <w:p>
      <w:pPr>
        <w:spacing w:after="0" w:line="364" w:lineRule="auto"/>
        <w:jc w:val="both"/>
        <w:sectPr>
          <w:pgSz w:w="11910" w:h="16840"/>
          <w:pgMar w:header="0" w:footer="984" w:top="1580" w:bottom="1180" w:left="960" w:right="980"/>
        </w:sectPr>
      </w:pPr>
    </w:p>
    <w:p>
      <w:pPr>
        <w:pStyle w:val="BodyText"/>
        <w:spacing w:line="364" w:lineRule="auto" w:before="102"/>
        <w:ind w:left="741" w:right="716"/>
        <w:jc w:val="both"/>
      </w:pPr>
      <w:r>
        <w:rPr/>
        <w:t>造成的污染情况、居民或单位避险措施等，以及相应的应急措施和方</w:t>
      </w:r>
      <w:r>
        <w:rPr>
          <w:spacing w:val="-13"/>
        </w:rPr>
        <w:t>法</w:t>
      </w:r>
      <w:r>
        <w:rPr/>
        <w:t>（</w:t>
      </w:r>
      <w:r>
        <w:rPr>
          <w:spacing w:val="-5"/>
        </w:rPr>
        <w:t>地方政府介入事件后，有关职责移交地方政府</w:t>
      </w:r>
      <w:r>
        <w:rPr>
          <w:spacing w:val="-140"/>
        </w:rPr>
        <w:t>）</w:t>
      </w:r>
      <w:r>
        <w:rPr>
          <w:spacing w:val="-4"/>
        </w:rPr>
        <w:t>。受事故影响的企事业单位应当做好相应的告知工作。</w:t>
      </w:r>
    </w:p>
    <w:p>
      <w:pPr>
        <w:pStyle w:val="BodyText"/>
        <w:spacing w:line="357" w:lineRule="exact"/>
        <w:ind w:left="1300"/>
      </w:pPr>
      <w:r>
        <w:rPr/>
        <w:t>周围可能受影响的相关单位如下。</w:t>
      </w:r>
    </w:p>
    <w:p>
      <w:pPr>
        <w:tabs>
          <w:tab w:pos="4867" w:val="left" w:leader="none"/>
        </w:tabs>
        <w:spacing w:before="186"/>
        <w:ind w:left="3247" w:right="0" w:firstLine="0"/>
        <w:jc w:val="left"/>
        <w:rPr>
          <w:b/>
          <w:sz w:val="28"/>
        </w:rPr>
      </w:pPr>
      <w:r>
        <w:rPr>
          <w:b/>
          <w:sz w:val="28"/>
        </w:rPr>
        <w:t>表</w:t>
      </w:r>
      <w:r>
        <w:rPr>
          <w:b/>
          <w:spacing w:val="-70"/>
          <w:sz w:val="28"/>
        </w:rPr>
        <w:t> </w:t>
      </w:r>
      <w:r>
        <w:rPr>
          <w:b/>
          <w:sz w:val="28"/>
        </w:rPr>
        <w:t>6-5-1</w:t>
        <w:tab/>
        <w:t>周围可能受影响单位</w:t>
      </w:r>
    </w:p>
    <w:p>
      <w:pPr>
        <w:pStyle w:val="BodyText"/>
        <w:spacing w:before="8"/>
        <w:rPr>
          <w:b/>
          <w:sz w:val="14"/>
        </w:rPr>
      </w:pPr>
    </w:p>
    <w:tbl>
      <w:tblPr>
        <w:tblW w:w="0" w:type="auto"/>
        <w:jc w:val="left"/>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5"/>
        <w:gridCol w:w="6264"/>
      </w:tblGrid>
      <w:tr>
        <w:trPr>
          <w:trHeight w:val="270" w:hRule="atLeast"/>
        </w:trPr>
        <w:tc>
          <w:tcPr>
            <w:tcW w:w="2455" w:type="dxa"/>
          </w:tcPr>
          <w:p>
            <w:pPr>
              <w:pStyle w:val="TableParagraph"/>
              <w:spacing w:line="250" w:lineRule="exact" w:before="1"/>
              <w:ind w:left="996" w:right="989"/>
              <w:rPr>
                <w:sz w:val="21"/>
              </w:rPr>
            </w:pPr>
            <w:r>
              <w:rPr>
                <w:sz w:val="21"/>
              </w:rPr>
              <w:t>序号</w:t>
            </w:r>
          </w:p>
        </w:tc>
        <w:tc>
          <w:tcPr>
            <w:tcW w:w="6264" w:type="dxa"/>
          </w:tcPr>
          <w:p>
            <w:pPr>
              <w:pStyle w:val="TableParagraph"/>
              <w:spacing w:line="250" w:lineRule="exact" w:before="1"/>
              <w:ind w:left="1850" w:right="1842"/>
              <w:rPr>
                <w:sz w:val="21"/>
              </w:rPr>
            </w:pPr>
            <w:r>
              <w:rPr>
                <w:sz w:val="21"/>
              </w:rPr>
              <w:t>企业名称</w:t>
            </w:r>
          </w:p>
        </w:tc>
      </w:tr>
      <w:tr>
        <w:trPr>
          <w:trHeight w:val="273" w:hRule="atLeast"/>
        </w:trPr>
        <w:tc>
          <w:tcPr>
            <w:tcW w:w="2455" w:type="dxa"/>
          </w:tcPr>
          <w:p>
            <w:pPr>
              <w:pStyle w:val="TableParagraph"/>
              <w:spacing w:before="7"/>
              <w:ind w:left="7"/>
              <w:rPr>
                <w:rFonts w:ascii="Times New Roman"/>
                <w:sz w:val="21"/>
              </w:rPr>
            </w:pPr>
            <w:r>
              <w:rPr>
                <w:rFonts w:ascii="Times New Roman"/>
                <w:w w:val="100"/>
                <w:sz w:val="21"/>
              </w:rPr>
              <w:t>1</w:t>
            </w:r>
          </w:p>
        </w:tc>
        <w:tc>
          <w:tcPr>
            <w:tcW w:w="6264" w:type="dxa"/>
          </w:tcPr>
          <w:p>
            <w:pPr>
              <w:pStyle w:val="TableParagraph"/>
              <w:spacing w:line="252" w:lineRule="exact" w:before="1"/>
              <w:ind w:left="1850" w:right="1840"/>
              <w:rPr>
                <w:sz w:val="21"/>
              </w:rPr>
            </w:pPr>
            <w:r>
              <w:rPr>
                <w:sz w:val="21"/>
              </w:rPr>
              <w:t>潍坊龙舜化工有限公司</w:t>
            </w:r>
          </w:p>
        </w:tc>
      </w:tr>
      <w:tr>
        <w:trPr>
          <w:trHeight w:val="270" w:hRule="atLeast"/>
        </w:trPr>
        <w:tc>
          <w:tcPr>
            <w:tcW w:w="2455" w:type="dxa"/>
          </w:tcPr>
          <w:p>
            <w:pPr>
              <w:pStyle w:val="TableParagraph"/>
              <w:spacing w:before="7"/>
              <w:ind w:left="7"/>
              <w:rPr>
                <w:rFonts w:ascii="Times New Roman"/>
                <w:sz w:val="21"/>
              </w:rPr>
            </w:pPr>
            <w:r>
              <w:rPr>
                <w:rFonts w:ascii="Times New Roman"/>
                <w:w w:val="100"/>
                <w:sz w:val="21"/>
              </w:rPr>
              <w:t>2</w:t>
            </w:r>
          </w:p>
        </w:tc>
        <w:tc>
          <w:tcPr>
            <w:tcW w:w="6264" w:type="dxa"/>
          </w:tcPr>
          <w:p>
            <w:pPr>
              <w:pStyle w:val="TableParagraph"/>
              <w:spacing w:line="250" w:lineRule="exact" w:before="1"/>
              <w:ind w:left="1850" w:right="1840"/>
              <w:rPr>
                <w:sz w:val="21"/>
              </w:rPr>
            </w:pPr>
            <w:r>
              <w:rPr>
                <w:sz w:val="21"/>
              </w:rPr>
              <w:t>潍坊德美化工有限公司</w:t>
            </w:r>
          </w:p>
        </w:tc>
      </w:tr>
      <w:tr>
        <w:trPr>
          <w:trHeight w:val="273" w:hRule="atLeast"/>
        </w:trPr>
        <w:tc>
          <w:tcPr>
            <w:tcW w:w="2455" w:type="dxa"/>
          </w:tcPr>
          <w:p>
            <w:pPr>
              <w:pStyle w:val="TableParagraph"/>
              <w:spacing w:before="7"/>
              <w:ind w:left="7"/>
              <w:rPr>
                <w:rFonts w:ascii="Times New Roman"/>
                <w:sz w:val="21"/>
              </w:rPr>
            </w:pPr>
            <w:r>
              <w:rPr>
                <w:rFonts w:ascii="Times New Roman"/>
                <w:w w:val="100"/>
                <w:sz w:val="21"/>
              </w:rPr>
              <w:t>3</w:t>
            </w:r>
          </w:p>
        </w:tc>
        <w:tc>
          <w:tcPr>
            <w:tcW w:w="6264" w:type="dxa"/>
          </w:tcPr>
          <w:p>
            <w:pPr>
              <w:pStyle w:val="TableParagraph"/>
              <w:spacing w:line="252" w:lineRule="exact" w:before="1"/>
              <w:ind w:left="1850" w:right="1840"/>
              <w:rPr>
                <w:sz w:val="21"/>
              </w:rPr>
            </w:pPr>
            <w:r>
              <w:rPr>
                <w:sz w:val="21"/>
              </w:rPr>
              <w:t>潍坊惠丰化工有限公司</w:t>
            </w:r>
          </w:p>
        </w:tc>
      </w:tr>
      <w:tr>
        <w:trPr>
          <w:trHeight w:val="273" w:hRule="atLeast"/>
        </w:trPr>
        <w:tc>
          <w:tcPr>
            <w:tcW w:w="2455" w:type="dxa"/>
          </w:tcPr>
          <w:p>
            <w:pPr>
              <w:pStyle w:val="TableParagraph"/>
              <w:spacing w:before="7"/>
              <w:ind w:left="7"/>
              <w:rPr>
                <w:rFonts w:ascii="Times New Roman"/>
                <w:sz w:val="21"/>
              </w:rPr>
            </w:pPr>
            <w:r>
              <w:rPr>
                <w:rFonts w:ascii="Times New Roman"/>
                <w:w w:val="100"/>
                <w:sz w:val="21"/>
              </w:rPr>
              <w:t>4</w:t>
            </w:r>
          </w:p>
        </w:tc>
        <w:tc>
          <w:tcPr>
            <w:tcW w:w="6264" w:type="dxa"/>
          </w:tcPr>
          <w:p>
            <w:pPr>
              <w:pStyle w:val="TableParagraph"/>
              <w:spacing w:line="252" w:lineRule="exact" w:before="1"/>
              <w:ind w:left="1850" w:right="1843"/>
              <w:rPr>
                <w:sz w:val="21"/>
              </w:rPr>
            </w:pPr>
            <w:r>
              <w:rPr>
                <w:sz w:val="21"/>
              </w:rPr>
              <w:t>潍坊华英生物科技有限公司</w:t>
            </w:r>
          </w:p>
        </w:tc>
      </w:tr>
      <w:tr>
        <w:trPr>
          <w:trHeight w:val="270" w:hRule="atLeast"/>
        </w:trPr>
        <w:tc>
          <w:tcPr>
            <w:tcW w:w="2455" w:type="dxa"/>
          </w:tcPr>
          <w:p>
            <w:pPr>
              <w:pStyle w:val="TableParagraph"/>
              <w:spacing w:before="7"/>
              <w:ind w:left="7"/>
              <w:rPr>
                <w:rFonts w:ascii="Times New Roman"/>
                <w:sz w:val="21"/>
              </w:rPr>
            </w:pPr>
            <w:r>
              <w:rPr>
                <w:rFonts w:ascii="Times New Roman"/>
                <w:w w:val="100"/>
                <w:sz w:val="21"/>
              </w:rPr>
              <w:t>5</w:t>
            </w:r>
          </w:p>
        </w:tc>
        <w:tc>
          <w:tcPr>
            <w:tcW w:w="6264" w:type="dxa"/>
          </w:tcPr>
          <w:p>
            <w:pPr>
              <w:pStyle w:val="TableParagraph"/>
              <w:spacing w:line="250" w:lineRule="exact" w:before="1"/>
              <w:ind w:left="1850" w:right="1840"/>
              <w:rPr>
                <w:sz w:val="21"/>
              </w:rPr>
            </w:pPr>
            <w:r>
              <w:rPr>
                <w:sz w:val="21"/>
              </w:rPr>
              <w:t>潍坊市浩瀚机械有限公司</w:t>
            </w:r>
          </w:p>
        </w:tc>
      </w:tr>
      <w:tr>
        <w:trPr>
          <w:trHeight w:val="273" w:hRule="atLeast"/>
        </w:trPr>
        <w:tc>
          <w:tcPr>
            <w:tcW w:w="2455" w:type="dxa"/>
          </w:tcPr>
          <w:p>
            <w:pPr>
              <w:pStyle w:val="TableParagraph"/>
              <w:spacing w:before="7"/>
              <w:ind w:left="7"/>
              <w:rPr>
                <w:rFonts w:ascii="Times New Roman"/>
                <w:sz w:val="21"/>
              </w:rPr>
            </w:pPr>
            <w:r>
              <w:rPr>
                <w:rFonts w:ascii="Times New Roman"/>
                <w:w w:val="100"/>
                <w:sz w:val="21"/>
              </w:rPr>
              <w:t>6</w:t>
            </w:r>
          </w:p>
        </w:tc>
        <w:tc>
          <w:tcPr>
            <w:tcW w:w="6264" w:type="dxa"/>
          </w:tcPr>
          <w:p>
            <w:pPr>
              <w:pStyle w:val="TableParagraph"/>
              <w:spacing w:line="252" w:lineRule="exact" w:before="1"/>
              <w:ind w:left="1850" w:right="1840"/>
              <w:rPr>
                <w:sz w:val="21"/>
              </w:rPr>
            </w:pPr>
            <w:r>
              <w:rPr>
                <w:sz w:val="21"/>
              </w:rPr>
              <w:t>山东昌峰铁塔有限公司</w:t>
            </w:r>
          </w:p>
        </w:tc>
      </w:tr>
      <w:tr>
        <w:trPr>
          <w:trHeight w:val="273" w:hRule="atLeast"/>
        </w:trPr>
        <w:tc>
          <w:tcPr>
            <w:tcW w:w="2455" w:type="dxa"/>
          </w:tcPr>
          <w:p>
            <w:pPr>
              <w:pStyle w:val="TableParagraph"/>
              <w:spacing w:before="7"/>
              <w:ind w:left="7"/>
              <w:rPr>
                <w:rFonts w:ascii="Times New Roman"/>
                <w:sz w:val="21"/>
              </w:rPr>
            </w:pPr>
            <w:r>
              <w:rPr>
                <w:rFonts w:ascii="Times New Roman"/>
                <w:w w:val="100"/>
                <w:sz w:val="21"/>
              </w:rPr>
              <w:t>7</w:t>
            </w:r>
          </w:p>
        </w:tc>
        <w:tc>
          <w:tcPr>
            <w:tcW w:w="6264" w:type="dxa"/>
          </w:tcPr>
          <w:p>
            <w:pPr>
              <w:pStyle w:val="TableParagraph"/>
              <w:spacing w:line="252" w:lineRule="exact" w:before="1"/>
              <w:ind w:left="1850" w:right="1840"/>
              <w:rPr>
                <w:sz w:val="21"/>
              </w:rPr>
            </w:pPr>
            <w:r>
              <w:rPr>
                <w:sz w:val="21"/>
              </w:rPr>
              <w:t>山东鲁华化工有限公司</w:t>
            </w:r>
          </w:p>
        </w:tc>
      </w:tr>
      <w:tr>
        <w:trPr>
          <w:trHeight w:val="270" w:hRule="atLeast"/>
        </w:trPr>
        <w:tc>
          <w:tcPr>
            <w:tcW w:w="2455" w:type="dxa"/>
          </w:tcPr>
          <w:p>
            <w:pPr>
              <w:pStyle w:val="TableParagraph"/>
              <w:spacing w:before="8"/>
              <w:ind w:left="7"/>
              <w:rPr>
                <w:rFonts w:ascii="Times New Roman"/>
                <w:sz w:val="21"/>
              </w:rPr>
            </w:pPr>
            <w:r>
              <w:rPr>
                <w:rFonts w:ascii="Times New Roman"/>
                <w:w w:val="100"/>
                <w:sz w:val="21"/>
              </w:rPr>
              <w:t>8</w:t>
            </w:r>
          </w:p>
        </w:tc>
        <w:tc>
          <w:tcPr>
            <w:tcW w:w="6264" w:type="dxa"/>
          </w:tcPr>
          <w:p>
            <w:pPr>
              <w:pStyle w:val="TableParagraph"/>
              <w:spacing w:line="250" w:lineRule="exact" w:before="1"/>
              <w:ind w:left="1850" w:right="1840"/>
              <w:rPr>
                <w:sz w:val="21"/>
              </w:rPr>
            </w:pPr>
            <w:r>
              <w:rPr>
                <w:sz w:val="21"/>
              </w:rPr>
              <w:t>潍坊鑫百顺化工有限公司</w:t>
            </w:r>
          </w:p>
        </w:tc>
      </w:tr>
      <w:tr>
        <w:trPr>
          <w:trHeight w:val="273" w:hRule="atLeast"/>
        </w:trPr>
        <w:tc>
          <w:tcPr>
            <w:tcW w:w="2455" w:type="dxa"/>
          </w:tcPr>
          <w:p>
            <w:pPr>
              <w:pStyle w:val="TableParagraph"/>
              <w:spacing w:before="7"/>
              <w:ind w:left="7"/>
              <w:rPr>
                <w:rFonts w:ascii="Times New Roman"/>
                <w:sz w:val="21"/>
              </w:rPr>
            </w:pPr>
            <w:r>
              <w:rPr>
                <w:rFonts w:ascii="Times New Roman"/>
                <w:w w:val="100"/>
                <w:sz w:val="21"/>
              </w:rPr>
              <w:t>9</w:t>
            </w:r>
          </w:p>
        </w:tc>
        <w:tc>
          <w:tcPr>
            <w:tcW w:w="6264" w:type="dxa"/>
          </w:tcPr>
          <w:p>
            <w:pPr>
              <w:pStyle w:val="TableParagraph"/>
              <w:spacing w:line="252" w:lineRule="exact" w:before="1"/>
              <w:ind w:left="1850" w:right="1840"/>
              <w:rPr>
                <w:sz w:val="21"/>
              </w:rPr>
            </w:pPr>
            <w:r>
              <w:rPr>
                <w:sz w:val="21"/>
              </w:rPr>
              <w:t>寒亭区第一盐场</w:t>
            </w:r>
          </w:p>
        </w:tc>
      </w:tr>
    </w:tbl>
    <w:p>
      <w:pPr>
        <w:pStyle w:val="Heading1"/>
        <w:numPr>
          <w:ilvl w:val="0"/>
          <w:numId w:val="9"/>
        </w:numPr>
        <w:tabs>
          <w:tab w:pos="984" w:val="left" w:leader="none"/>
        </w:tabs>
        <w:spacing w:line="240" w:lineRule="auto" w:before="1" w:after="0"/>
        <w:ind w:left="983" w:right="0" w:hanging="243"/>
        <w:jc w:val="both"/>
      </w:pPr>
      <w:bookmarkStart w:name="_TOC_250028" w:id="40"/>
      <w:bookmarkEnd w:id="40"/>
      <w:r>
        <w:rPr/>
        <w:t>应急监测</w:t>
      </w:r>
    </w:p>
    <w:p>
      <w:pPr>
        <w:pStyle w:val="ListParagraph"/>
        <w:numPr>
          <w:ilvl w:val="1"/>
          <w:numId w:val="9"/>
        </w:numPr>
        <w:tabs>
          <w:tab w:pos="1237" w:val="left" w:leader="none"/>
        </w:tabs>
        <w:spacing w:line="240" w:lineRule="auto" w:before="209" w:after="0"/>
        <w:ind w:left="1236" w:right="0" w:hanging="496"/>
        <w:jc w:val="left"/>
        <w:rPr>
          <w:b/>
          <w:sz w:val="28"/>
        </w:rPr>
      </w:pPr>
      <w:bookmarkStart w:name="_TOC_250027" w:id="41"/>
      <w:bookmarkEnd w:id="41"/>
      <w:r>
        <w:rPr>
          <w:b/>
          <w:sz w:val="28"/>
        </w:rPr>
        <w:t>应急监测方案</w:t>
      </w:r>
    </w:p>
    <w:p>
      <w:pPr>
        <w:pStyle w:val="BodyText"/>
        <w:spacing w:line="364" w:lineRule="auto" w:before="186"/>
        <w:ind w:left="741" w:right="716" w:firstLine="559"/>
      </w:pPr>
      <w:r>
        <w:rPr/>
        <w:t>因公司不具有相应的监测设施，当发生环境应急事件时，应急指挥中心应立即通知滨海区环境监测站进行应急监测。</w:t>
      </w:r>
    </w:p>
    <w:p>
      <w:pPr>
        <w:pStyle w:val="ListParagraph"/>
        <w:numPr>
          <w:ilvl w:val="1"/>
          <w:numId w:val="9"/>
        </w:numPr>
        <w:tabs>
          <w:tab w:pos="1237" w:val="left" w:leader="none"/>
        </w:tabs>
        <w:spacing w:line="358" w:lineRule="exact" w:before="0" w:after="0"/>
        <w:ind w:left="1236" w:right="0" w:hanging="496"/>
        <w:jc w:val="left"/>
        <w:rPr>
          <w:b/>
          <w:sz w:val="28"/>
        </w:rPr>
      </w:pPr>
      <w:bookmarkStart w:name="_TOC_250026" w:id="42"/>
      <w:bookmarkEnd w:id="42"/>
      <w:r>
        <w:rPr>
          <w:b/>
          <w:sz w:val="28"/>
        </w:rPr>
        <w:t>可能受影响区域的监测布点</w:t>
      </w:r>
    </w:p>
    <w:p>
      <w:pPr>
        <w:pStyle w:val="BodyText"/>
        <w:spacing w:before="186"/>
        <w:ind w:left="1300"/>
      </w:pPr>
      <w:r>
        <w:rPr/>
        <w:t>（一）水环境污染事故</w:t>
      </w:r>
    </w:p>
    <w:p>
      <w:pPr>
        <w:pStyle w:val="ListParagraph"/>
        <w:numPr>
          <w:ilvl w:val="0"/>
          <w:numId w:val="31"/>
        </w:numPr>
        <w:tabs>
          <w:tab w:pos="2003" w:val="left" w:leader="none"/>
        </w:tabs>
        <w:spacing w:line="240" w:lineRule="auto" w:before="186" w:after="0"/>
        <w:ind w:left="2002" w:right="0" w:hanging="703"/>
        <w:jc w:val="left"/>
        <w:rPr>
          <w:sz w:val="28"/>
        </w:rPr>
      </w:pPr>
      <w:r>
        <w:rPr>
          <w:spacing w:val="-1"/>
          <w:sz w:val="28"/>
        </w:rPr>
        <w:t>监测因子</w:t>
      </w:r>
    </w:p>
    <w:p>
      <w:pPr>
        <w:pStyle w:val="BodyText"/>
        <w:spacing w:line="364" w:lineRule="auto" w:before="186"/>
        <w:ind w:left="741" w:right="716" w:firstLine="559"/>
      </w:pPr>
      <w:r>
        <w:rPr/>
        <w:t>监测因子为：根据事故范围选择适当的监测因子，在厂区发生事故时选择pH 值、COD、氨氮、氰化物、甲醇、丙酮作为监测因子。</w:t>
      </w:r>
    </w:p>
    <w:p>
      <w:pPr>
        <w:pStyle w:val="BodyText"/>
        <w:spacing w:line="364" w:lineRule="auto"/>
        <w:ind w:left="741" w:right="716" w:firstLine="559"/>
        <w:jc w:val="both"/>
      </w:pPr>
      <w:r>
        <w:rPr/>
        <w:t>监测时间和频次：按照事故持续时间决定监测时间，根据事故严重性决定监测频次。一般情况下每小时取样一次。随事故控制减弱， 适当减少监测频次。</w:t>
      </w:r>
    </w:p>
    <w:p>
      <w:pPr>
        <w:pStyle w:val="BodyText"/>
        <w:spacing w:line="364" w:lineRule="auto"/>
        <w:ind w:left="741" w:right="715" w:firstLine="559"/>
        <w:jc w:val="both"/>
      </w:pPr>
      <w:r>
        <w:rPr/>
        <w:t>测点布设：建设项目设施雨污分流排水系统，厂区地面冲洗水经污水管网进入市政污水管网，初期雨水经厂区雨水管网排入市政雨水管网。为防止建设项目消防废水进入水体，对雨水排口进行监测。因</w:t>
      </w:r>
    </w:p>
    <w:p>
      <w:pPr>
        <w:spacing w:after="0" w:line="364" w:lineRule="auto"/>
        <w:jc w:val="both"/>
        <w:sectPr>
          <w:pgSz w:w="11910" w:h="16840"/>
          <w:pgMar w:header="0" w:footer="984" w:top="1580" w:bottom="1180" w:left="960" w:right="980"/>
        </w:sectPr>
      </w:pPr>
    </w:p>
    <w:p>
      <w:pPr>
        <w:pStyle w:val="BodyText"/>
        <w:spacing w:before="102"/>
        <w:ind w:left="741"/>
      </w:pPr>
      <w:r>
        <w:rPr/>
        <w:t>此，公司事故后水环境监测因子见表 7.2-1。</w:t>
      </w:r>
    </w:p>
    <w:p>
      <w:pPr>
        <w:pStyle w:val="BodyText"/>
        <w:spacing w:before="1"/>
        <w:rPr>
          <w:sz w:val="24"/>
        </w:rPr>
      </w:pPr>
    </w:p>
    <w:p>
      <w:pPr>
        <w:tabs>
          <w:tab w:pos="5390" w:val="left" w:leader="none"/>
        </w:tabs>
        <w:spacing w:before="0" w:after="20"/>
        <w:ind w:left="3684" w:right="0" w:firstLine="0"/>
        <w:jc w:val="left"/>
        <w:rPr>
          <w:b/>
          <w:sz w:val="28"/>
        </w:rPr>
      </w:pPr>
      <w:r>
        <w:rPr>
          <w:b/>
          <w:sz w:val="28"/>
        </w:rPr>
        <w:t>表</w:t>
      </w:r>
      <w:r>
        <w:rPr>
          <w:rFonts w:ascii="Times New Roman" w:eastAsia="Times New Roman"/>
          <w:b/>
          <w:sz w:val="28"/>
        </w:rPr>
        <w:t>7.2-1</w:t>
        <w:tab/>
      </w:r>
      <w:r>
        <w:rPr>
          <w:b/>
          <w:sz w:val="28"/>
        </w:rPr>
        <w:t>水环境监测因子</w:t>
      </w:r>
    </w:p>
    <w:tbl>
      <w:tblPr>
        <w:tblW w:w="0" w:type="auto"/>
        <w:jc w:val="left"/>
        <w:tblInd w:w="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29"/>
        <w:gridCol w:w="2100"/>
        <w:gridCol w:w="5105"/>
      </w:tblGrid>
      <w:tr>
        <w:trPr>
          <w:trHeight w:val="352" w:hRule="atLeast"/>
        </w:trPr>
        <w:tc>
          <w:tcPr>
            <w:tcW w:w="1229" w:type="dxa"/>
          </w:tcPr>
          <w:p>
            <w:pPr>
              <w:pStyle w:val="TableParagraph"/>
              <w:spacing w:before="41"/>
              <w:ind w:left="173" w:right="171"/>
              <w:rPr>
                <w:sz w:val="21"/>
              </w:rPr>
            </w:pPr>
            <w:r>
              <w:rPr>
                <w:sz w:val="21"/>
              </w:rPr>
              <w:t>断面编号</w:t>
            </w:r>
          </w:p>
        </w:tc>
        <w:tc>
          <w:tcPr>
            <w:tcW w:w="2100" w:type="dxa"/>
          </w:tcPr>
          <w:p>
            <w:pPr>
              <w:pStyle w:val="TableParagraph"/>
              <w:tabs>
                <w:tab w:pos="635" w:val="left" w:leader="none"/>
              </w:tabs>
              <w:spacing w:before="41"/>
              <w:ind w:left="4"/>
              <w:rPr>
                <w:sz w:val="21"/>
              </w:rPr>
            </w:pPr>
            <w:r>
              <w:rPr>
                <w:sz w:val="21"/>
              </w:rPr>
              <w:t>位</w:t>
              <w:tab/>
              <w:t>置</w:t>
            </w:r>
          </w:p>
        </w:tc>
        <w:tc>
          <w:tcPr>
            <w:tcW w:w="5105" w:type="dxa"/>
          </w:tcPr>
          <w:p>
            <w:pPr>
              <w:pStyle w:val="TableParagraph"/>
              <w:spacing w:before="41"/>
              <w:ind w:left="475" w:right="471"/>
              <w:rPr>
                <w:sz w:val="21"/>
              </w:rPr>
            </w:pPr>
            <w:r>
              <w:rPr>
                <w:sz w:val="21"/>
              </w:rPr>
              <w:t>监测项目</w:t>
            </w:r>
          </w:p>
        </w:tc>
      </w:tr>
      <w:tr>
        <w:trPr>
          <w:trHeight w:val="352" w:hRule="atLeast"/>
        </w:trPr>
        <w:tc>
          <w:tcPr>
            <w:tcW w:w="1229" w:type="dxa"/>
          </w:tcPr>
          <w:p>
            <w:pPr>
              <w:pStyle w:val="TableParagraph"/>
              <w:spacing w:before="48"/>
              <w:ind w:left="173" w:right="171"/>
              <w:rPr>
                <w:rFonts w:ascii="Times New Roman"/>
                <w:sz w:val="21"/>
              </w:rPr>
            </w:pPr>
            <w:r>
              <w:rPr>
                <w:rFonts w:ascii="Times New Roman"/>
                <w:sz w:val="21"/>
              </w:rPr>
              <w:t>W1</w:t>
            </w:r>
          </w:p>
        </w:tc>
        <w:tc>
          <w:tcPr>
            <w:tcW w:w="2100" w:type="dxa"/>
          </w:tcPr>
          <w:p>
            <w:pPr>
              <w:pStyle w:val="TableParagraph"/>
              <w:spacing w:before="42"/>
              <w:ind w:left="4"/>
              <w:rPr>
                <w:sz w:val="21"/>
              </w:rPr>
            </w:pPr>
            <w:r>
              <w:rPr>
                <w:sz w:val="21"/>
              </w:rPr>
              <w:t>雨水排口</w:t>
            </w:r>
          </w:p>
        </w:tc>
        <w:tc>
          <w:tcPr>
            <w:tcW w:w="5105" w:type="dxa"/>
          </w:tcPr>
          <w:p>
            <w:pPr>
              <w:pStyle w:val="TableParagraph"/>
              <w:spacing w:before="42"/>
              <w:ind w:left="475" w:right="471"/>
              <w:rPr>
                <w:sz w:val="21"/>
              </w:rPr>
            </w:pPr>
            <w:r>
              <w:rPr>
                <w:rFonts w:ascii="Times New Roman" w:eastAsia="Times New Roman"/>
                <w:sz w:val="21"/>
              </w:rPr>
              <w:t>pH </w:t>
            </w:r>
            <w:r>
              <w:rPr>
                <w:sz w:val="21"/>
              </w:rPr>
              <w:t>值、</w:t>
            </w:r>
            <w:r>
              <w:rPr>
                <w:rFonts w:ascii="Times New Roman" w:eastAsia="Times New Roman"/>
                <w:sz w:val="21"/>
              </w:rPr>
              <w:t>COD</w:t>
            </w:r>
            <w:r>
              <w:rPr>
                <w:sz w:val="21"/>
              </w:rPr>
              <w:t>、氨氮、氰化物、甲醇、丙酮等</w:t>
            </w:r>
          </w:p>
        </w:tc>
      </w:tr>
      <w:tr>
        <w:trPr>
          <w:trHeight w:val="355" w:hRule="atLeast"/>
        </w:trPr>
        <w:tc>
          <w:tcPr>
            <w:tcW w:w="1229" w:type="dxa"/>
          </w:tcPr>
          <w:p>
            <w:pPr>
              <w:pStyle w:val="TableParagraph"/>
              <w:spacing w:before="48"/>
              <w:ind w:left="173" w:right="171"/>
              <w:rPr>
                <w:rFonts w:ascii="Times New Roman"/>
                <w:sz w:val="21"/>
              </w:rPr>
            </w:pPr>
            <w:r>
              <w:rPr>
                <w:rFonts w:ascii="Times New Roman"/>
                <w:sz w:val="21"/>
              </w:rPr>
              <w:t>W2</w:t>
            </w:r>
          </w:p>
        </w:tc>
        <w:tc>
          <w:tcPr>
            <w:tcW w:w="2100" w:type="dxa"/>
          </w:tcPr>
          <w:p>
            <w:pPr>
              <w:pStyle w:val="TableParagraph"/>
              <w:spacing w:before="42"/>
              <w:ind w:left="4"/>
              <w:rPr>
                <w:sz w:val="21"/>
              </w:rPr>
            </w:pPr>
            <w:r>
              <w:rPr>
                <w:sz w:val="21"/>
              </w:rPr>
              <w:t>废水排口</w:t>
            </w:r>
          </w:p>
        </w:tc>
        <w:tc>
          <w:tcPr>
            <w:tcW w:w="5105" w:type="dxa"/>
          </w:tcPr>
          <w:p>
            <w:pPr>
              <w:pStyle w:val="TableParagraph"/>
              <w:spacing w:before="42"/>
              <w:ind w:left="475" w:right="471"/>
              <w:rPr>
                <w:sz w:val="21"/>
              </w:rPr>
            </w:pPr>
            <w:r>
              <w:rPr>
                <w:rFonts w:ascii="Times New Roman" w:eastAsia="Times New Roman"/>
                <w:sz w:val="21"/>
              </w:rPr>
              <w:t>pH </w:t>
            </w:r>
            <w:r>
              <w:rPr>
                <w:sz w:val="21"/>
              </w:rPr>
              <w:t>值、</w:t>
            </w:r>
            <w:r>
              <w:rPr>
                <w:rFonts w:ascii="Times New Roman" w:eastAsia="Times New Roman"/>
                <w:sz w:val="21"/>
              </w:rPr>
              <w:t>COD</w:t>
            </w:r>
            <w:r>
              <w:rPr>
                <w:sz w:val="21"/>
              </w:rPr>
              <w:t>、氨氮、氰化物、甲醇、丙酮等</w:t>
            </w:r>
          </w:p>
        </w:tc>
      </w:tr>
    </w:tbl>
    <w:p>
      <w:pPr>
        <w:pStyle w:val="ListParagraph"/>
        <w:numPr>
          <w:ilvl w:val="0"/>
          <w:numId w:val="31"/>
        </w:numPr>
        <w:tabs>
          <w:tab w:pos="2003" w:val="left" w:leader="none"/>
        </w:tabs>
        <w:spacing w:line="240" w:lineRule="auto" w:before="0" w:after="0"/>
        <w:ind w:left="2002" w:right="0" w:hanging="703"/>
        <w:jc w:val="left"/>
        <w:rPr>
          <w:sz w:val="28"/>
        </w:rPr>
      </w:pPr>
      <w:r>
        <w:rPr>
          <w:spacing w:val="-2"/>
          <w:sz w:val="28"/>
        </w:rPr>
        <w:t>监测时间和频次</w:t>
      </w:r>
    </w:p>
    <w:p>
      <w:pPr>
        <w:pStyle w:val="BodyText"/>
        <w:spacing w:line="364" w:lineRule="auto" w:before="186"/>
        <w:ind w:left="741" w:right="536" w:firstLine="559"/>
      </w:pPr>
      <w:r>
        <w:rPr/>
        <w:t>按照事故持续时间决定监测时间，根据事故严重性确定监测频次。一般情况下每 10-15 分钟取样一次。随事故控制减弱，适当减少监测频次。</w:t>
      </w:r>
    </w:p>
    <w:p>
      <w:pPr>
        <w:pStyle w:val="ListParagraph"/>
        <w:numPr>
          <w:ilvl w:val="0"/>
          <w:numId w:val="31"/>
        </w:numPr>
        <w:tabs>
          <w:tab w:pos="2003" w:val="left" w:leader="none"/>
        </w:tabs>
        <w:spacing w:line="355" w:lineRule="exact" w:before="0" w:after="0"/>
        <w:ind w:left="2002" w:right="0" w:hanging="703"/>
        <w:jc w:val="left"/>
        <w:rPr>
          <w:sz w:val="28"/>
        </w:rPr>
      </w:pPr>
      <w:r>
        <w:rPr>
          <w:spacing w:val="-1"/>
          <w:sz w:val="28"/>
        </w:rPr>
        <w:t>监测点布设</w:t>
      </w:r>
    </w:p>
    <w:p>
      <w:pPr>
        <w:pStyle w:val="BodyText"/>
        <w:spacing w:line="364" w:lineRule="auto" w:before="186"/>
        <w:ind w:left="741" w:right="716" w:firstLine="559"/>
        <w:jc w:val="both"/>
      </w:pPr>
      <w:r>
        <w:rPr/>
        <w:t>厂区在废水收集池、雨污水管道布设监控池，一旦发生事故，只需关闭切断设施，就能避免事故废水进入生活污水接管口和雨水排放口。所以在受控情况下，只需在废水收集池、雨污水管道监控池处设置采样点即可。</w:t>
      </w:r>
    </w:p>
    <w:p>
      <w:pPr>
        <w:pStyle w:val="BodyText"/>
        <w:spacing w:line="364" w:lineRule="auto"/>
        <w:ind w:left="741" w:right="716" w:firstLine="559"/>
        <w:jc w:val="both"/>
      </w:pPr>
      <w:r>
        <w:rPr/>
        <w:t>如果事故废水进入外环境，采样时以事故发生地为主，按水流的方向，扩散速度以及其他因素进行布点采样，根据事故发生的严重程度，可现场确定采样范围。在事故发生地、事故发生地的下游布设若干点位，同时在事故发生地的上游一定距离布设对照断面；由于厂外水沟水流速度较小，且河面宽度小，因此需要在同一断面的不同水层进行采样；另外，在事故影响区域内饮用水和农灌区取水口也设置采样断面。采样时，需要采平行样品，一份在现场进行检测，一份加入保护剂后尽快送至实验室分析。若根据污染物质类型需要，应当使用塑料广口瓶对水体的沉积物采样密封后分析。</w:t>
      </w:r>
    </w:p>
    <w:p>
      <w:pPr>
        <w:pStyle w:val="BodyText"/>
        <w:spacing w:line="364" w:lineRule="auto"/>
        <w:ind w:left="741" w:right="716" w:firstLine="559"/>
      </w:pPr>
      <w:r>
        <w:rPr/>
        <w:t>对于火灾以及爆炸事故，除了执行以上的监测步骤，还必须对消防水采样分析。</w:t>
      </w:r>
    </w:p>
    <w:p>
      <w:pPr>
        <w:pStyle w:val="BodyText"/>
        <w:spacing w:line="358" w:lineRule="exact"/>
        <w:ind w:left="1300"/>
      </w:pPr>
      <w:r>
        <w:rPr/>
        <w:t>（二）大气环境污染事故</w:t>
      </w:r>
    </w:p>
    <w:p>
      <w:pPr>
        <w:spacing w:after="0" w:line="358" w:lineRule="exact"/>
        <w:sectPr>
          <w:pgSz w:w="11910" w:h="16840"/>
          <w:pgMar w:header="0" w:footer="984" w:top="1580" w:bottom="1180" w:left="960" w:right="980"/>
        </w:sectPr>
      </w:pPr>
    </w:p>
    <w:p>
      <w:pPr>
        <w:pStyle w:val="ListParagraph"/>
        <w:numPr>
          <w:ilvl w:val="0"/>
          <w:numId w:val="32"/>
        </w:numPr>
        <w:tabs>
          <w:tab w:pos="2003" w:val="left" w:leader="none"/>
        </w:tabs>
        <w:spacing w:line="240" w:lineRule="auto" w:before="102" w:after="0"/>
        <w:ind w:left="2002" w:right="0" w:hanging="703"/>
        <w:jc w:val="left"/>
        <w:rPr>
          <w:sz w:val="28"/>
        </w:rPr>
      </w:pPr>
      <w:r>
        <w:rPr>
          <w:spacing w:val="-1"/>
          <w:sz w:val="28"/>
        </w:rPr>
        <w:t>监测因子</w:t>
      </w:r>
    </w:p>
    <w:p>
      <w:pPr>
        <w:pStyle w:val="BodyText"/>
        <w:spacing w:before="186"/>
        <w:ind w:left="1300"/>
      </w:pPr>
      <w:r>
        <w:rPr/>
        <w:t>监测因子为：氨、醋酸、乙腈、氰化氢、CO、甲醇、丙酮。</w:t>
      </w:r>
    </w:p>
    <w:p>
      <w:pPr>
        <w:pStyle w:val="BodyText"/>
        <w:spacing w:line="364" w:lineRule="auto" w:before="186"/>
        <w:ind w:left="741" w:right="579" w:firstLine="559"/>
      </w:pPr>
      <w:r>
        <w:rPr/>
        <w:t>监测时间和频次：按照事故持续时间决定监测时间，根据事故严</w:t>
      </w:r>
      <w:r>
        <w:rPr>
          <w:spacing w:val="-8"/>
        </w:rPr>
        <w:t>重性决定监测频次。一般情况下氨、醋酸、乙腈、氰化氢、</w:t>
      </w:r>
      <w:r>
        <w:rPr/>
        <w:t>CO</w:t>
      </w:r>
      <w:r>
        <w:rPr>
          <w:spacing w:val="-3"/>
        </w:rPr>
        <w:t>、甲醇、</w:t>
      </w:r>
      <w:r>
        <w:rPr>
          <w:spacing w:val="-4"/>
        </w:rPr>
        <w:t>丙酮特征因子，每小时监测 </w:t>
      </w:r>
      <w:r>
        <w:rPr/>
        <w:t>1</w:t>
      </w:r>
      <w:r>
        <w:rPr>
          <w:spacing w:val="-4"/>
        </w:rPr>
        <w:t> 次，随事故控制减弱，适当减少监测频</w:t>
      </w:r>
      <w:r>
        <w:rPr>
          <w:spacing w:val="-18"/>
        </w:rPr>
        <w:t>次。见表 </w:t>
      </w:r>
      <w:r>
        <w:rPr/>
        <w:t>7.2-2。</w:t>
      </w:r>
    </w:p>
    <w:p>
      <w:pPr>
        <w:tabs>
          <w:tab w:pos="4968" w:val="left" w:leader="none"/>
        </w:tabs>
        <w:spacing w:before="118" w:after="22"/>
        <w:ind w:left="3825" w:right="0" w:firstLine="0"/>
        <w:jc w:val="left"/>
        <w:rPr>
          <w:b/>
          <w:sz w:val="28"/>
        </w:rPr>
      </w:pPr>
      <w:r>
        <w:rPr>
          <w:b/>
          <w:sz w:val="28"/>
        </w:rPr>
        <w:t>表</w:t>
      </w:r>
      <w:r>
        <w:rPr>
          <w:rFonts w:ascii="Times New Roman" w:eastAsia="Times New Roman"/>
          <w:b/>
          <w:sz w:val="28"/>
        </w:rPr>
        <w:t>7.2-2</w:t>
        <w:tab/>
      </w:r>
      <w:r>
        <w:rPr>
          <w:b/>
          <w:sz w:val="28"/>
        </w:rPr>
        <w:t>大气环境监测点位</w:t>
      </w:r>
    </w:p>
    <w:tbl>
      <w:tblPr>
        <w:tblW w:w="0" w:type="auto"/>
        <w:jc w:val="left"/>
        <w:tblInd w:w="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46"/>
        <w:gridCol w:w="1382"/>
        <w:gridCol w:w="2116"/>
        <w:gridCol w:w="1247"/>
        <w:gridCol w:w="2214"/>
        <w:gridCol w:w="1405"/>
      </w:tblGrid>
      <w:tr>
        <w:trPr>
          <w:trHeight w:val="510" w:hRule="atLeast"/>
        </w:trPr>
        <w:tc>
          <w:tcPr>
            <w:tcW w:w="746" w:type="dxa"/>
            <w:vMerge w:val="restart"/>
          </w:tcPr>
          <w:p>
            <w:pPr>
              <w:pStyle w:val="TableParagraph"/>
              <w:spacing w:before="10"/>
              <w:jc w:val="left"/>
              <w:rPr>
                <w:b/>
                <w:sz w:val="18"/>
              </w:rPr>
            </w:pPr>
          </w:p>
          <w:p>
            <w:pPr>
              <w:pStyle w:val="TableParagraph"/>
              <w:spacing w:line="242" w:lineRule="auto"/>
              <w:ind w:left="160" w:right="153" w:firstLine="2"/>
              <w:jc w:val="left"/>
              <w:rPr>
                <w:sz w:val="21"/>
              </w:rPr>
            </w:pPr>
            <w:r>
              <w:rPr>
                <w:sz w:val="21"/>
              </w:rPr>
              <w:t>测点编号</w:t>
            </w:r>
          </w:p>
        </w:tc>
        <w:tc>
          <w:tcPr>
            <w:tcW w:w="1382" w:type="dxa"/>
            <w:vMerge w:val="restart"/>
          </w:tcPr>
          <w:p>
            <w:pPr>
              <w:pStyle w:val="TableParagraph"/>
              <w:spacing w:before="1"/>
              <w:jc w:val="left"/>
              <w:rPr>
                <w:b/>
                <w:sz w:val="14"/>
              </w:rPr>
            </w:pPr>
          </w:p>
          <w:p>
            <w:pPr>
              <w:pStyle w:val="TableParagraph"/>
              <w:spacing w:line="348" w:lineRule="auto"/>
              <w:ind w:left="480" w:right="472"/>
              <w:rPr>
                <w:sz w:val="21"/>
              </w:rPr>
            </w:pPr>
            <w:r>
              <w:rPr>
                <w:sz w:val="21"/>
              </w:rPr>
              <w:t>测点名称</w:t>
            </w:r>
          </w:p>
        </w:tc>
        <w:tc>
          <w:tcPr>
            <w:tcW w:w="3363" w:type="dxa"/>
            <w:gridSpan w:val="2"/>
          </w:tcPr>
          <w:p>
            <w:pPr>
              <w:pStyle w:val="TableParagraph"/>
              <w:spacing w:before="121"/>
              <w:ind w:left="946"/>
              <w:jc w:val="left"/>
              <w:rPr>
                <w:sz w:val="21"/>
              </w:rPr>
            </w:pPr>
            <w:r>
              <w:rPr>
                <w:sz w:val="21"/>
              </w:rPr>
              <w:t>距建设地点位置</w:t>
            </w:r>
          </w:p>
        </w:tc>
        <w:tc>
          <w:tcPr>
            <w:tcW w:w="2214" w:type="dxa"/>
            <w:vMerge w:val="restart"/>
          </w:tcPr>
          <w:p>
            <w:pPr>
              <w:pStyle w:val="TableParagraph"/>
              <w:spacing w:before="6"/>
              <w:jc w:val="left"/>
              <w:rPr>
                <w:b/>
                <w:sz w:val="29"/>
              </w:rPr>
            </w:pPr>
          </w:p>
          <w:p>
            <w:pPr>
              <w:pStyle w:val="TableParagraph"/>
              <w:ind w:left="689"/>
              <w:jc w:val="left"/>
              <w:rPr>
                <w:sz w:val="21"/>
              </w:rPr>
            </w:pPr>
            <w:r>
              <w:rPr>
                <w:sz w:val="21"/>
              </w:rPr>
              <w:t>监测项目</w:t>
            </w:r>
          </w:p>
        </w:tc>
        <w:tc>
          <w:tcPr>
            <w:tcW w:w="1405" w:type="dxa"/>
            <w:vMerge w:val="restart"/>
          </w:tcPr>
          <w:p>
            <w:pPr>
              <w:pStyle w:val="TableParagraph"/>
              <w:spacing w:before="10"/>
              <w:jc w:val="left"/>
              <w:rPr>
                <w:b/>
                <w:sz w:val="18"/>
              </w:rPr>
            </w:pPr>
          </w:p>
          <w:p>
            <w:pPr>
              <w:pStyle w:val="TableParagraph"/>
              <w:spacing w:line="242" w:lineRule="auto"/>
              <w:ind w:left="495" w:right="162" w:hanging="315"/>
              <w:jc w:val="left"/>
              <w:rPr>
                <w:sz w:val="21"/>
              </w:rPr>
            </w:pPr>
            <w:r>
              <w:rPr>
                <w:sz w:val="21"/>
              </w:rPr>
              <w:t>所在环境功能区</w:t>
            </w:r>
          </w:p>
        </w:tc>
      </w:tr>
      <w:tr>
        <w:trPr>
          <w:trHeight w:val="513" w:hRule="atLeast"/>
        </w:trPr>
        <w:tc>
          <w:tcPr>
            <w:tcW w:w="746" w:type="dxa"/>
            <w:vMerge/>
            <w:tcBorders>
              <w:top w:val="nil"/>
            </w:tcBorders>
          </w:tcPr>
          <w:p>
            <w:pPr>
              <w:rPr>
                <w:sz w:val="2"/>
                <w:szCs w:val="2"/>
              </w:rPr>
            </w:pPr>
          </w:p>
        </w:tc>
        <w:tc>
          <w:tcPr>
            <w:tcW w:w="1382" w:type="dxa"/>
            <w:vMerge/>
            <w:tcBorders>
              <w:top w:val="nil"/>
            </w:tcBorders>
          </w:tcPr>
          <w:p>
            <w:pPr>
              <w:rPr>
                <w:sz w:val="2"/>
                <w:szCs w:val="2"/>
              </w:rPr>
            </w:pPr>
          </w:p>
        </w:tc>
        <w:tc>
          <w:tcPr>
            <w:tcW w:w="2116" w:type="dxa"/>
          </w:tcPr>
          <w:p>
            <w:pPr>
              <w:pStyle w:val="TableParagraph"/>
              <w:spacing w:before="121"/>
              <w:ind w:left="829" w:right="822"/>
              <w:rPr>
                <w:sz w:val="21"/>
              </w:rPr>
            </w:pPr>
            <w:r>
              <w:rPr>
                <w:sz w:val="21"/>
              </w:rPr>
              <w:t>方位</w:t>
            </w:r>
          </w:p>
        </w:tc>
        <w:tc>
          <w:tcPr>
            <w:tcW w:w="1247" w:type="dxa"/>
          </w:tcPr>
          <w:p>
            <w:pPr>
              <w:pStyle w:val="TableParagraph"/>
              <w:spacing w:before="121"/>
              <w:ind w:left="102" w:right="96"/>
              <w:rPr>
                <w:sz w:val="21"/>
              </w:rPr>
            </w:pPr>
            <w:r>
              <w:rPr>
                <w:sz w:val="21"/>
              </w:rPr>
              <w:t>距离（</w:t>
            </w:r>
            <w:r>
              <w:rPr>
                <w:rFonts w:ascii="Times New Roman" w:eastAsia="Times New Roman"/>
                <w:sz w:val="21"/>
              </w:rPr>
              <w:t>m</w:t>
            </w:r>
            <w:r>
              <w:rPr>
                <w:sz w:val="21"/>
              </w:rPr>
              <w:t>）</w:t>
            </w:r>
          </w:p>
        </w:tc>
        <w:tc>
          <w:tcPr>
            <w:tcW w:w="2214" w:type="dxa"/>
            <w:vMerge/>
            <w:tcBorders>
              <w:top w:val="nil"/>
            </w:tcBorders>
          </w:tcPr>
          <w:p>
            <w:pPr>
              <w:rPr>
                <w:sz w:val="2"/>
                <w:szCs w:val="2"/>
              </w:rPr>
            </w:pPr>
          </w:p>
        </w:tc>
        <w:tc>
          <w:tcPr>
            <w:tcW w:w="1405" w:type="dxa"/>
            <w:vMerge/>
            <w:tcBorders>
              <w:top w:val="nil"/>
            </w:tcBorders>
          </w:tcPr>
          <w:p>
            <w:pPr>
              <w:rPr>
                <w:sz w:val="2"/>
                <w:szCs w:val="2"/>
              </w:rPr>
            </w:pPr>
          </w:p>
        </w:tc>
      </w:tr>
      <w:tr>
        <w:trPr>
          <w:trHeight w:val="784" w:hRule="atLeast"/>
        </w:trPr>
        <w:tc>
          <w:tcPr>
            <w:tcW w:w="746" w:type="dxa"/>
          </w:tcPr>
          <w:p>
            <w:pPr>
              <w:pStyle w:val="TableParagraph"/>
              <w:spacing w:before="8"/>
              <w:jc w:val="left"/>
              <w:rPr>
                <w:b/>
                <w:sz w:val="20"/>
              </w:rPr>
            </w:pPr>
          </w:p>
          <w:p>
            <w:pPr>
              <w:pStyle w:val="TableParagraph"/>
              <w:ind w:left="222" w:right="221"/>
              <w:rPr>
                <w:rFonts w:ascii="Times New Roman"/>
                <w:sz w:val="21"/>
              </w:rPr>
            </w:pPr>
            <w:r>
              <w:rPr>
                <w:rFonts w:ascii="Times New Roman"/>
                <w:sz w:val="21"/>
              </w:rPr>
              <w:t>G1</w:t>
            </w:r>
          </w:p>
        </w:tc>
        <w:tc>
          <w:tcPr>
            <w:tcW w:w="1382" w:type="dxa"/>
          </w:tcPr>
          <w:p>
            <w:pPr>
              <w:pStyle w:val="TableParagraph"/>
              <w:spacing w:before="1"/>
              <w:jc w:val="left"/>
              <w:rPr>
                <w:b/>
                <w:sz w:val="20"/>
              </w:rPr>
            </w:pPr>
          </w:p>
          <w:p>
            <w:pPr>
              <w:pStyle w:val="TableParagraph"/>
              <w:ind w:left="145" w:right="139"/>
              <w:rPr>
                <w:sz w:val="21"/>
              </w:rPr>
            </w:pPr>
            <w:r>
              <w:rPr>
                <w:sz w:val="21"/>
              </w:rPr>
              <w:t>关心点</w:t>
            </w:r>
          </w:p>
        </w:tc>
        <w:tc>
          <w:tcPr>
            <w:tcW w:w="2116" w:type="dxa"/>
          </w:tcPr>
          <w:p>
            <w:pPr>
              <w:pStyle w:val="TableParagraph"/>
              <w:spacing w:line="242" w:lineRule="auto" w:before="121"/>
              <w:ind w:left="531" w:right="101" w:hanging="418"/>
              <w:jc w:val="left"/>
              <w:rPr>
                <w:sz w:val="21"/>
              </w:rPr>
            </w:pPr>
            <w:r>
              <w:rPr>
                <w:sz w:val="21"/>
              </w:rPr>
              <w:t>事故发生时的主导风向的下风向</w:t>
            </w:r>
          </w:p>
        </w:tc>
        <w:tc>
          <w:tcPr>
            <w:tcW w:w="1247" w:type="dxa"/>
          </w:tcPr>
          <w:p>
            <w:pPr>
              <w:pStyle w:val="TableParagraph"/>
              <w:spacing w:before="1"/>
              <w:jc w:val="left"/>
              <w:rPr>
                <w:b/>
                <w:sz w:val="20"/>
              </w:rPr>
            </w:pPr>
          </w:p>
          <w:p>
            <w:pPr>
              <w:pStyle w:val="TableParagraph"/>
              <w:ind w:left="102" w:right="93"/>
              <w:rPr>
                <w:sz w:val="21"/>
              </w:rPr>
            </w:pPr>
            <w:r>
              <w:rPr>
                <w:sz w:val="21"/>
              </w:rPr>
              <w:t>厂界</w:t>
            </w:r>
          </w:p>
        </w:tc>
        <w:tc>
          <w:tcPr>
            <w:tcW w:w="2214" w:type="dxa"/>
            <w:vMerge w:val="restart"/>
          </w:tcPr>
          <w:p>
            <w:pPr>
              <w:pStyle w:val="TableParagraph"/>
              <w:spacing w:before="6"/>
              <w:jc w:val="left"/>
              <w:rPr>
                <w:b/>
                <w:sz w:val="29"/>
              </w:rPr>
            </w:pPr>
          </w:p>
          <w:p>
            <w:pPr>
              <w:pStyle w:val="TableParagraph"/>
              <w:spacing w:line="242" w:lineRule="auto"/>
              <w:ind w:left="122" w:right="94" w:hanging="13"/>
              <w:jc w:val="left"/>
              <w:rPr>
                <w:sz w:val="21"/>
              </w:rPr>
            </w:pPr>
            <w:r>
              <w:rPr>
                <w:spacing w:val="-15"/>
                <w:sz w:val="21"/>
              </w:rPr>
              <w:t>氨、醋酸、乙腈、氰化</w:t>
            </w:r>
            <w:r>
              <w:rPr>
                <w:spacing w:val="-2"/>
                <w:sz w:val="21"/>
              </w:rPr>
              <w:t>氢、</w:t>
            </w:r>
            <w:r>
              <w:rPr>
                <w:rFonts w:ascii="Times New Roman" w:eastAsia="Times New Roman"/>
                <w:sz w:val="21"/>
              </w:rPr>
              <w:t>CO</w:t>
            </w:r>
            <w:r>
              <w:rPr>
                <w:spacing w:val="-3"/>
                <w:sz w:val="21"/>
              </w:rPr>
              <w:t>、甲醇、丙酮</w:t>
            </w:r>
          </w:p>
        </w:tc>
        <w:tc>
          <w:tcPr>
            <w:tcW w:w="1405" w:type="dxa"/>
            <w:vMerge w:val="restart"/>
          </w:tcPr>
          <w:p>
            <w:pPr>
              <w:pStyle w:val="TableParagraph"/>
              <w:jc w:val="left"/>
              <w:rPr>
                <w:b/>
                <w:sz w:val="20"/>
              </w:rPr>
            </w:pPr>
          </w:p>
          <w:p>
            <w:pPr>
              <w:pStyle w:val="TableParagraph"/>
              <w:spacing w:before="2"/>
              <w:jc w:val="left"/>
              <w:rPr>
                <w:b/>
                <w:sz w:val="20"/>
              </w:rPr>
            </w:pPr>
          </w:p>
          <w:p>
            <w:pPr>
              <w:pStyle w:val="TableParagraph"/>
              <w:ind w:left="390"/>
              <w:jc w:val="left"/>
              <w:rPr>
                <w:sz w:val="21"/>
              </w:rPr>
            </w:pPr>
            <w:r>
              <w:rPr>
                <w:sz w:val="21"/>
              </w:rPr>
              <w:t>二类区</w:t>
            </w:r>
          </w:p>
        </w:tc>
      </w:tr>
      <w:tr>
        <w:trPr>
          <w:trHeight w:val="513" w:hRule="atLeast"/>
        </w:trPr>
        <w:tc>
          <w:tcPr>
            <w:tcW w:w="746" w:type="dxa"/>
          </w:tcPr>
          <w:p>
            <w:pPr>
              <w:pStyle w:val="TableParagraph"/>
              <w:spacing w:before="127"/>
              <w:ind w:left="222" w:right="221"/>
              <w:rPr>
                <w:rFonts w:ascii="Times New Roman"/>
                <w:sz w:val="21"/>
              </w:rPr>
            </w:pPr>
            <w:r>
              <w:rPr>
                <w:rFonts w:ascii="Times New Roman"/>
                <w:sz w:val="21"/>
              </w:rPr>
              <w:t>G2</w:t>
            </w:r>
          </w:p>
        </w:tc>
        <w:tc>
          <w:tcPr>
            <w:tcW w:w="1382" w:type="dxa"/>
          </w:tcPr>
          <w:p>
            <w:pPr>
              <w:pStyle w:val="TableParagraph"/>
              <w:spacing w:before="121"/>
              <w:ind w:left="145" w:right="142"/>
              <w:rPr>
                <w:sz w:val="21"/>
              </w:rPr>
            </w:pPr>
            <w:r>
              <w:rPr>
                <w:sz w:val="21"/>
              </w:rPr>
              <w:t>项目所在地</w:t>
            </w:r>
          </w:p>
        </w:tc>
        <w:tc>
          <w:tcPr>
            <w:tcW w:w="2116" w:type="dxa"/>
          </w:tcPr>
          <w:p>
            <w:pPr>
              <w:pStyle w:val="TableParagraph"/>
              <w:spacing w:before="127"/>
              <w:ind w:left="7"/>
              <w:rPr>
                <w:rFonts w:ascii="Times New Roman" w:hAnsi="Times New Roman"/>
                <w:sz w:val="21"/>
              </w:rPr>
            </w:pPr>
            <w:r>
              <w:rPr>
                <w:rFonts w:ascii="Times New Roman" w:hAnsi="Times New Roman"/>
                <w:w w:val="100"/>
                <w:sz w:val="21"/>
              </w:rPr>
              <w:t>—</w:t>
            </w:r>
          </w:p>
        </w:tc>
        <w:tc>
          <w:tcPr>
            <w:tcW w:w="1247" w:type="dxa"/>
          </w:tcPr>
          <w:p>
            <w:pPr>
              <w:pStyle w:val="TableParagraph"/>
              <w:spacing w:before="127"/>
              <w:ind w:left="9"/>
              <w:rPr>
                <w:rFonts w:ascii="Times New Roman" w:hAnsi="Times New Roman"/>
                <w:sz w:val="21"/>
              </w:rPr>
            </w:pPr>
            <w:r>
              <w:rPr>
                <w:rFonts w:ascii="Times New Roman" w:hAnsi="Times New Roman"/>
                <w:w w:val="100"/>
                <w:sz w:val="21"/>
              </w:rPr>
              <w:t>—</w:t>
            </w:r>
          </w:p>
        </w:tc>
        <w:tc>
          <w:tcPr>
            <w:tcW w:w="2214" w:type="dxa"/>
            <w:vMerge/>
            <w:tcBorders>
              <w:top w:val="nil"/>
            </w:tcBorders>
          </w:tcPr>
          <w:p>
            <w:pPr>
              <w:rPr>
                <w:sz w:val="2"/>
                <w:szCs w:val="2"/>
              </w:rPr>
            </w:pPr>
          </w:p>
        </w:tc>
        <w:tc>
          <w:tcPr>
            <w:tcW w:w="1405" w:type="dxa"/>
            <w:vMerge/>
            <w:tcBorders>
              <w:top w:val="nil"/>
            </w:tcBorders>
          </w:tcPr>
          <w:p>
            <w:pPr>
              <w:rPr>
                <w:sz w:val="2"/>
                <w:szCs w:val="2"/>
              </w:rPr>
            </w:pPr>
          </w:p>
        </w:tc>
      </w:tr>
    </w:tbl>
    <w:p>
      <w:pPr>
        <w:pStyle w:val="ListParagraph"/>
        <w:numPr>
          <w:ilvl w:val="0"/>
          <w:numId w:val="32"/>
        </w:numPr>
        <w:tabs>
          <w:tab w:pos="2003" w:val="left" w:leader="none"/>
        </w:tabs>
        <w:spacing w:line="240" w:lineRule="auto" w:before="0" w:after="0"/>
        <w:ind w:left="2002" w:right="0" w:hanging="703"/>
        <w:jc w:val="left"/>
        <w:rPr>
          <w:sz w:val="28"/>
        </w:rPr>
      </w:pPr>
      <w:r>
        <w:rPr>
          <w:spacing w:val="-2"/>
          <w:sz w:val="28"/>
        </w:rPr>
        <w:t>监测时间和频次</w:t>
      </w:r>
    </w:p>
    <w:p>
      <w:pPr>
        <w:pStyle w:val="BodyText"/>
        <w:spacing w:line="364" w:lineRule="auto" w:before="186"/>
        <w:ind w:left="741" w:right="576" w:firstLine="559"/>
      </w:pPr>
      <w:r>
        <w:rPr>
          <w:spacing w:val="-6"/>
        </w:rPr>
        <w:t>按照事故持续时间决定监测时间，根据事故严重性决定监测频次。</w:t>
      </w:r>
      <w:r>
        <w:rPr>
          <w:spacing w:val="-14"/>
        </w:rPr>
        <w:t>一般情况下每 </w:t>
      </w:r>
      <w:r>
        <w:rPr/>
        <w:t>30</w:t>
      </w:r>
      <w:r>
        <w:rPr>
          <w:spacing w:val="-24"/>
        </w:rPr>
        <w:t> 小时监测 </w:t>
      </w:r>
      <w:r>
        <w:rPr/>
        <w:t>1</w:t>
      </w:r>
      <w:r>
        <w:rPr>
          <w:spacing w:val="-17"/>
        </w:rPr>
        <w:t> 次，随事故控制减弱，适当减少监测频次。</w:t>
      </w:r>
    </w:p>
    <w:p>
      <w:pPr>
        <w:pStyle w:val="ListParagraph"/>
        <w:numPr>
          <w:ilvl w:val="0"/>
          <w:numId w:val="32"/>
        </w:numPr>
        <w:tabs>
          <w:tab w:pos="2003" w:val="left" w:leader="none"/>
        </w:tabs>
        <w:spacing w:line="355" w:lineRule="exact" w:before="0" w:after="0"/>
        <w:ind w:left="2002" w:right="0" w:hanging="703"/>
        <w:jc w:val="left"/>
        <w:rPr>
          <w:sz w:val="28"/>
        </w:rPr>
      </w:pPr>
      <w:r>
        <w:rPr>
          <w:spacing w:val="-1"/>
          <w:sz w:val="28"/>
        </w:rPr>
        <w:t>监测点布设</w:t>
      </w:r>
    </w:p>
    <w:p>
      <w:pPr>
        <w:pStyle w:val="BodyText"/>
        <w:spacing w:line="364" w:lineRule="auto" w:before="186"/>
        <w:ind w:left="741" w:right="576" w:firstLine="559"/>
      </w:pPr>
      <w:r>
        <w:rPr/>
        <w:t>以事故地点为中心，根据事故发生地的地理特点、风向及其他自</w:t>
      </w:r>
      <w:r>
        <w:rPr>
          <w:spacing w:val="-5"/>
        </w:rPr>
        <w:t>然条件，在事故发生地当日的下风向影响区域、掩体或低洼地等位置， </w:t>
      </w:r>
      <w:r>
        <w:rPr>
          <w:spacing w:val="-1"/>
        </w:rPr>
        <w:t>按一定间隔的圆形布点采样，根据事故发生的严重程度，确定采样点</w:t>
      </w:r>
      <w:r>
        <w:rPr/>
        <w:t>布置的范围。而且需要在不同高度采样，同时在事故点的上风向适当位置布设采样，作为对照点。在距事故发生地最近的居民住宅区或其他敏感区域应布点采样，且采样过程中应注意风向的变化，及时调整</w:t>
      </w:r>
      <w:r>
        <w:rPr>
          <w:spacing w:val="-1"/>
        </w:rPr>
        <w:t>采样点位置。</w:t>
      </w:r>
    </w:p>
    <w:p>
      <w:pPr>
        <w:pStyle w:val="BodyText"/>
        <w:spacing w:line="364" w:lineRule="auto"/>
        <w:ind w:left="741" w:right="716" w:firstLine="559"/>
        <w:jc w:val="both"/>
      </w:pPr>
      <w:r>
        <w:rPr/>
        <w:t>对于火灾以及爆炸事故，首先应当确定事故中可能产生的衍生污染物，再根据该污染物的性质特征，按照以上的采样点布置原则进行布点。</w:t>
      </w:r>
    </w:p>
    <w:p>
      <w:pPr>
        <w:spacing w:after="0" w:line="364" w:lineRule="auto"/>
        <w:jc w:val="both"/>
        <w:sectPr>
          <w:pgSz w:w="11910" w:h="16840"/>
          <w:pgMar w:header="0" w:footer="984" w:top="1580" w:bottom="1180" w:left="960" w:right="980"/>
        </w:sectPr>
      </w:pPr>
    </w:p>
    <w:p>
      <w:pPr>
        <w:pStyle w:val="BodyText"/>
        <w:spacing w:line="364" w:lineRule="auto" w:before="102"/>
        <w:ind w:left="741" w:right="716" w:firstLine="559"/>
      </w:pPr>
      <w:r>
        <w:rPr/>
        <w:t>采样时，应当确定好采样的流量和采样的时间，同时记录气温、气压、风向和风速，采样总体积应换算为标准状态下的体积。</w:t>
      </w:r>
    </w:p>
    <w:p>
      <w:pPr>
        <w:pStyle w:val="BodyText"/>
        <w:spacing w:line="358" w:lineRule="exact"/>
        <w:ind w:left="1300"/>
      </w:pPr>
      <w:r>
        <w:rPr/>
        <w:t>（三）土壤环境污染事故</w:t>
      </w:r>
    </w:p>
    <w:p>
      <w:pPr>
        <w:pStyle w:val="ListParagraph"/>
        <w:numPr>
          <w:ilvl w:val="0"/>
          <w:numId w:val="33"/>
        </w:numPr>
        <w:tabs>
          <w:tab w:pos="2003" w:val="left" w:leader="none"/>
        </w:tabs>
        <w:spacing w:line="240" w:lineRule="auto" w:before="186" w:after="0"/>
        <w:ind w:left="2002" w:right="0" w:hanging="703"/>
        <w:jc w:val="left"/>
        <w:rPr>
          <w:sz w:val="28"/>
        </w:rPr>
      </w:pPr>
      <w:r>
        <w:rPr>
          <w:spacing w:val="-1"/>
          <w:sz w:val="28"/>
        </w:rPr>
        <w:t>监测因子</w:t>
      </w:r>
    </w:p>
    <w:p>
      <w:pPr>
        <w:pStyle w:val="BodyText"/>
        <w:spacing w:before="186"/>
        <w:ind w:left="1300"/>
      </w:pPr>
      <w:r>
        <w:rPr/>
        <w:t>监测因子为：pH、盐类、氰化物、甲醇、丙酮。</w:t>
      </w:r>
    </w:p>
    <w:p>
      <w:pPr>
        <w:pStyle w:val="BodyText"/>
        <w:spacing w:line="364" w:lineRule="auto" w:before="186"/>
        <w:ind w:left="741" w:right="716" w:firstLine="559"/>
        <w:jc w:val="both"/>
      </w:pPr>
      <w:r>
        <w:rPr/>
        <w:t>监测时间和频次：按照事故持续时间决定监测时间，根据事故严</w:t>
      </w:r>
      <w:r>
        <w:rPr>
          <w:spacing w:val="-4"/>
        </w:rPr>
        <w:t>重性决定监测频次。一般情况下每小时监测 </w:t>
      </w:r>
      <w:r>
        <w:rPr/>
        <w:t>1</w:t>
      </w:r>
      <w:r>
        <w:rPr>
          <w:spacing w:val="-4"/>
        </w:rPr>
        <w:t> 次，随事故控制减弱， </w:t>
      </w:r>
      <w:r>
        <w:rPr>
          <w:spacing w:val="-9"/>
        </w:rPr>
        <w:t>适当减少监测频次。见表 </w:t>
      </w:r>
      <w:r>
        <w:rPr/>
        <w:t>7.2-3。</w:t>
      </w:r>
    </w:p>
    <w:p>
      <w:pPr>
        <w:spacing w:before="119" w:after="22"/>
        <w:ind w:left="3967" w:right="0" w:firstLine="0"/>
        <w:jc w:val="both"/>
        <w:rPr>
          <w:b/>
          <w:sz w:val="28"/>
        </w:rPr>
      </w:pPr>
      <w:r>
        <w:rPr>
          <w:b/>
          <w:sz w:val="28"/>
        </w:rPr>
        <w:t>表</w:t>
      </w:r>
      <w:r>
        <w:rPr>
          <w:rFonts w:ascii="Times New Roman" w:eastAsia="Times New Roman"/>
          <w:b/>
          <w:sz w:val="28"/>
        </w:rPr>
        <w:t>7.2-3</w:t>
      </w:r>
      <w:r>
        <w:rPr>
          <w:rFonts w:ascii="Times New Roman" w:eastAsia="Times New Roman"/>
          <w:b/>
          <w:spacing w:val="67"/>
          <w:sz w:val="28"/>
        </w:rPr>
        <w:t> </w:t>
      </w:r>
      <w:r>
        <w:rPr>
          <w:b/>
          <w:sz w:val="28"/>
        </w:rPr>
        <w:t>土壤监测频次表</w:t>
      </w: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2026"/>
        <w:gridCol w:w="1959"/>
        <w:gridCol w:w="1981"/>
        <w:gridCol w:w="2250"/>
      </w:tblGrid>
      <w:tr>
        <w:trPr>
          <w:trHeight w:val="465" w:hRule="atLeast"/>
        </w:trPr>
        <w:tc>
          <w:tcPr>
            <w:tcW w:w="1260" w:type="dxa"/>
          </w:tcPr>
          <w:p>
            <w:pPr>
              <w:pStyle w:val="TableParagraph"/>
              <w:spacing w:before="101"/>
              <w:ind w:left="189" w:right="180"/>
              <w:rPr>
                <w:sz w:val="21"/>
              </w:rPr>
            </w:pPr>
            <w:r>
              <w:rPr>
                <w:sz w:val="21"/>
              </w:rPr>
              <w:t>事故等级</w:t>
            </w:r>
          </w:p>
        </w:tc>
        <w:tc>
          <w:tcPr>
            <w:tcW w:w="2026" w:type="dxa"/>
          </w:tcPr>
          <w:p>
            <w:pPr>
              <w:pStyle w:val="TableParagraph"/>
              <w:spacing w:before="101"/>
              <w:ind w:left="590"/>
              <w:jc w:val="left"/>
              <w:rPr>
                <w:sz w:val="21"/>
              </w:rPr>
            </w:pPr>
            <w:r>
              <w:rPr>
                <w:sz w:val="21"/>
              </w:rPr>
              <w:t>监测点位</w:t>
            </w:r>
          </w:p>
        </w:tc>
        <w:tc>
          <w:tcPr>
            <w:tcW w:w="1959" w:type="dxa"/>
          </w:tcPr>
          <w:p>
            <w:pPr>
              <w:pStyle w:val="TableParagraph"/>
              <w:spacing w:before="101"/>
              <w:ind w:left="558"/>
              <w:jc w:val="left"/>
              <w:rPr>
                <w:sz w:val="21"/>
              </w:rPr>
            </w:pPr>
            <w:r>
              <w:rPr>
                <w:sz w:val="21"/>
              </w:rPr>
              <w:t>监测频次</w:t>
            </w:r>
          </w:p>
        </w:tc>
        <w:tc>
          <w:tcPr>
            <w:tcW w:w="1981" w:type="dxa"/>
          </w:tcPr>
          <w:p>
            <w:pPr>
              <w:pStyle w:val="TableParagraph"/>
              <w:spacing w:before="101"/>
              <w:ind w:left="565"/>
              <w:jc w:val="left"/>
              <w:rPr>
                <w:sz w:val="21"/>
              </w:rPr>
            </w:pPr>
            <w:r>
              <w:rPr>
                <w:sz w:val="21"/>
              </w:rPr>
              <w:t>监测因子</w:t>
            </w:r>
          </w:p>
        </w:tc>
        <w:tc>
          <w:tcPr>
            <w:tcW w:w="2250" w:type="dxa"/>
          </w:tcPr>
          <w:p>
            <w:pPr>
              <w:pStyle w:val="TableParagraph"/>
              <w:spacing w:before="101"/>
              <w:ind w:left="50" w:right="46"/>
              <w:rPr>
                <w:sz w:val="21"/>
              </w:rPr>
            </w:pPr>
            <w:r>
              <w:rPr>
                <w:sz w:val="21"/>
              </w:rPr>
              <w:t>追踪监测</w:t>
            </w:r>
          </w:p>
        </w:tc>
      </w:tr>
      <w:tr>
        <w:trPr>
          <w:trHeight w:val="520" w:hRule="atLeast"/>
        </w:trPr>
        <w:tc>
          <w:tcPr>
            <w:tcW w:w="1260" w:type="dxa"/>
          </w:tcPr>
          <w:p>
            <w:pPr>
              <w:pStyle w:val="TableParagraph"/>
              <w:spacing w:before="128"/>
              <w:ind w:left="189" w:right="180"/>
              <w:rPr>
                <w:sz w:val="21"/>
              </w:rPr>
            </w:pPr>
            <w:r>
              <w:rPr>
                <w:sz w:val="21"/>
              </w:rPr>
              <w:t>三级事故</w:t>
            </w:r>
          </w:p>
        </w:tc>
        <w:tc>
          <w:tcPr>
            <w:tcW w:w="2026" w:type="dxa"/>
          </w:tcPr>
          <w:p>
            <w:pPr>
              <w:pStyle w:val="TableParagraph"/>
              <w:spacing w:line="260" w:lineRule="exact"/>
              <w:ind w:left="693" w:right="161" w:hanging="524"/>
              <w:jc w:val="left"/>
              <w:rPr>
                <w:sz w:val="21"/>
              </w:rPr>
            </w:pPr>
            <w:r>
              <w:rPr>
                <w:sz w:val="21"/>
              </w:rPr>
              <w:t>事故发生地受污染的区域</w:t>
            </w:r>
          </w:p>
        </w:tc>
        <w:tc>
          <w:tcPr>
            <w:tcW w:w="1959" w:type="dxa"/>
          </w:tcPr>
          <w:p>
            <w:pPr>
              <w:pStyle w:val="TableParagraph"/>
              <w:spacing w:line="260" w:lineRule="exact"/>
              <w:ind w:left="347" w:right="123" w:hanging="212"/>
              <w:jc w:val="left"/>
              <w:rPr>
                <w:sz w:val="21"/>
              </w:rPr>
            </w:pPr>
            <w:r>
              <w:rPr>
                <w:rFonts w:ascii="Times New Roman" w:eastAsia="Times New Roman"/>
                <w:sz w:val="21"/>
              </w:rPr>
              <w:t>1 </w:t>
            </w:r>
            <w:r>
              <w:rPr>
                <w:sz w:val="21"/>
              </w:rPr>
              <w:t>次</w:t>
            </w:r>
            <w:r>
              <w:rPr>
                <w:rFonts w:ascii="Times New Roman" w:eastAsia="Times New Roman"/>
                <w:sz w:val="21"/>
              </w:rPr>
              <w:t>/</w:t>
            </w:r>
            <w:r>
              <w:rPr>
                <w:sz w:val="21"/>
              </w:rPr>
              <w:t>应急期间采样点不少于 </w:t>
            </w:r>
            <w:r>
              <w:rPr>
                <w:rFonts w:ascii="Times New Roman" w:eastAsia="Times New Roman"/>
                <w:sz w:val="21"/>
              </w:rPr>
              <w:t>5 </w:t>
            </w:r>
            <w:r>
              <w:rPr>
                <w:sz w:val="21"/>
              </w:rPr>
              <w:t>个</w:t>
            </w:r>
          </w:p>
        </w:tc>
        <w:tc>
          <w:tcPr>
            <w:tcW w:w="1981" w:type="dxa"/>
          </w:tcPr>
          <w:p>
            <w:pPr>
              <w:pStyle w:val="TableParagraph"/>
              <w:spacing w:line="260" w:lineRule="exact"/>
              <w:ind w:left="459" w:right="-15" w:hanging="353"/>
              <w:jc w:val="left"/>
              <w:rPr>
                <w:sz w:val="21"/>
              </w:rPr>
            </w:pPr>
            <w:r>
              <w:rPr>
                <w:rFonts w:ascii="Times New Roman" w:eastAsia="Times New Roman"/>
                <w:sz w:val="21"/>
              </w:rPr>
              <w:t>pH</w:t>
            </w:r>
            <w:r>
              <w:rPr>
                <w:spacing w:val="-12"/>
                <w:sz w:val="21"/>
              </w:rPr>
              <w:t>、盐类、氰化物、</w:t>
            </w:r>
            <w:r>
              <w:rPr>
                <w:spacing w:val="-6"/>
                <w:sz w:val="21"/>
              </w:rPr>
              <w:t>甲醇、丙酮</w:t>
            </w:r>
          </w:p>
        </w:tc>
        <w:tc>
          <w:tcPr>
            <w:tcW w:w="2250" w:type="dxa"/>
          </w:tcPr>
          <w:p>
            <w:pPr>
              <w:pStyle w:val="TableParagraph"/>
              <w:spacing w:before="128"/>
              <w:ind w:left="53" w:right="46"/>
              <w:rPr>
                <w:sz w:val="21"/>
              </w:rPr>
            </w:pPr>
            <w:r>
              <w:rPr>
                <w:sz w:val="21"/>
              </w:rPr>
              <w:t>清理后，送填埋场处理</w:t>
            </w:r>
          </w:p>
        </w:tc>
      </w:tr>
    </w:tbl>
    <w:p>
      <w:pPr>
        <w:pStyle w:val="ListParagraph"/>
        <w:numPr>
          <w:ilvl w:val="0"/>
          <w:numId w:val="33"/>
        </w:numPr>
        <w:tabs>
          <w:tab w:pos="2003" w:val="left" w:leader="none"/>
        </w:tabs>
        <w:spacing w:line="240" w:lineRule="auto" w:before="0" w:after="0"/>
        <w:ind w:left="2002" w:right="0" w:hanging="703"/>
        <w:jc w:val="left"/>
        <w:rPr>
          <w:sz w:val="28"/>
        </w:rPr>
      </w:pPr>
      <w:r>
        <w:rPr>
          <w:spacing w:val="-2"/>
          <w:sz w:val="28"/>
        </w:rPr>
        <w:t>监测时间和频次</w:t>
      </w:r>
    </w:p>
    <w:p>
      <w:pPr>
        <w:pStyle w:val="BodyText"/>
        <w:spacing w:before="186"/>
        <w:ind w:left="1300"/>
      </w:pPr>
      <w:r>
        <w:rPr/>
        <w:t>根据污染物的状况，在事发初期应当增加频次，不少于 2 小时采</w:t>
      </w:r>
    </w:p>
    <w:p>
      <w:pPr>
        <w:pStyle w:val="BodyText"/>
        <w:spacing w:line="362" w:lineRule="auto" w:before="186"/>
        <w:ind w:left="741" w:right="662"/>
      </w:pPr>
      <w:r>
        <w:rPr/>
        <w:t>样一次；待摸清污染规律后可适当减少，不少于 6 小时一次；应急终止后可 24 小时一次进行取样。至影响完全消除后方可停止取样。</w:t>
      </w:r>
    </w:p>
    <w:p>
      <w:pPr>
        <w:pStyle w:val="ListParagraph"/>
        <w:numPr>
          <w:ilvl w:val="0"/>
          <w:numId w:val="33"/>
        </w:numPr>
        <w:tabs>
          <w:tab w:pos="2003" w:val="left" w:leader="none"/>
        </w:tabs>
        <w:spacing w:line="240" w:lineRule="auto" w:before="4" w:after="0"/>
        <w:ind w:left="2002" w:right="0" w:hanging="703"/>
        <w:jc w:val="left"/>
        <w:rPr>
          <w:sz w:val="28"/>
        </w:rPr>
      </w:pPr>
      <w:r>
        <w:rPr>
          <w:spacing w:val="-1"/>
          <w:sz w:val="28"/>
        </w:rPr>
        <w:t>监测点布设</w:t>
      </w:r>
    </w:p>
    <w:p>
      <w:pPr>
        <w:pStyle w:val="BodyText"/>
        <w:spacing w:line="364" w:lineRule="auto" w:before="186"/>
        <w:ind w:left="741" w:right="574" w:firstLine="559"/>
      </w:pPr>
      <w:r>
        <w:rPr/>
        <w:t>土壤污染的采样应当以事故发生地为中心，根据不同的污染物质确定一定范围，然后在该范围内离事故发生地不同距离设置采样点， 并根据污染物类型在不同的深度采样，另外采集未受污染区域的样品</w:t>
      </w:r>
      <w:r>
        <w:rPr>
          <w:spacing w:val="-5"/>
        </w:rPr>
        <w:t>作为对照。除了对土壤进行采样，还需要采集事故发生地的作物样品。</w:t>
      </w:r>
      <w:r>
        <w:rPr>
          <w:spacing w:val="-9"/>
        </w:rPr>
        <w:t>若事故发生地在相对开阔区域，采样应采取垂直深 </w:t>
      </w:r>
      <w:r>
        <w:rPr/>
        <w:t>10cm</w:t>
      </w:r>
      <w:r>
        <w:rPr>
          <w:spacing w:val="-14"/>
        </w:rPr>
        <w:t> 的表层土。一</w:t>
      </w:r>
      <w:r>
        <w:rPr>
          <w:spacing w:val="-37"/>
        </w:rPr>
        <w:t>般在 </w:t>
      </w:r>
      <w:r>
        <w:rPr/>
        <w:t>10m×10m</w:t>
      </w:r>
      <w:r>
        <w:rPr>
          <w:spacing w:val="-17"/>
        </w:rPr>
        <w:t> 范围内，采用梅花形布点方法或根据地形蛇形布点方法， </w:t>
      </w:r>
      <w:r>
        <w:rPr>
          <w:spacing w:val="-11"/>
        </w:rPr>
        <w:t>采样点不少于 </w:t>
      </w:r>
      <w:r>
        <w:rPr/>
        <w:t>5</w:t>
      </w:r>
      <w:r>
        <w:rPr>
          <w:spacing w:val="-4"/>
        </w:rPr>
        <w:t> 个。不同采样点采集的样品在除去小石块和杂草后混合放入密封塑料袋。</w:t>
      </w:r>
    </w:p>
    <w:p>
      <w:pPr>
        <w:pStyle w:val="BodyText"/>
        <w:spacing w:line="355" w:lineRule="exact"/>
        <w:ind w:left="1300"/>
      </w:pPr>
      <w:r>
        <w:rPr>
          <w:spacing w:val="-4"/>
          <w:w w:val="100"/>
        </w:rPr>
        <w:t>对于所有采集的样品</w:t>
      </w:r>
      <w:r>
        <w:rPr>
          <w:w w:val="100"/>
        </w:rPr>
        <w:t>（</w:t>
      </w:r>
      <w:r>
        <w:rPr>
          <w:spacing w:val="-5"/>
          <w:w w:val="100"/>
        </w:rPr>
        <w:t>包括大气样品，水样品和土壤样品</w:t>
      </w:r>
      <w:r>
        <w:rPr>
          <w:spacing w:val="-140"/>
          <w:w w:val="100"/>
        </w:rPr>
        <w:t>）</w:t>
      </w:r>
      <w:r>
        <w:rPr>
          <w:spacing w:val="-6"/>
          <w:w w:val="100"/>
        </w:rPr>
        <w:t>，应分</w:t>
      </w:r>
    </w:p>
    <w:p>
      <w:pPr>
        <w:pStyle w:val="BodyText"/>
        <w:spacing w:before="186"/>
        <w:ind w:left="741"/>
      </w:pPr>
      <w:r>
        <w:rPr/>
        <w:t>类保存，防止交叉污染。现场无法测定的项目，应立即将样品送至实</w:t>
      </w:r>
    </w:p>
    <w:p>
      <w:pPr>
        <w:spacing w:after="0"/>
        <w:sectPr>
          <w:pgSz w:w="11910" w:h="16840"/>
          <w:pgMar w:header="0" w:footer="984" w:top="1580" w:bottom="1180" w:left="960" w:right="980"/>
        </w:sectPr>
      </w:pPr>
    </w:p>
    <w:p>
      <w:pPr>
        <w:pStyle w:val="BodyText"/>
        <w:spacing w:before="102"/>
        <w:ind w:left="741"/>
      </w:pPr>
      <w:r>
        <w:rPr/>
        <w:t>验室分析。样品必须保存到应急行动结束后，才能废弃。</w:t>
      </w:r>
    </w:p>
    <w:p>
      <w:pPr>
        <w:pStyle w:val="ListParagraph"/>
        <w:numPr>
          <w:ilvl w:val="1"/>
          <w:numId w:val="9"/>
        </w:numPr>
        <w:tabs>
          <w:tab w:pos="1237" w:val="left" w:leader="none"/>
        </w:tabs>
        <w:spacing w:line="240" w:lineRule="auto" w:before="186" w:after="0"/>
        <w:ind w:left="1236" w:right="0" w:hanging="496"/>
        <w:jc w:val="left"/>
        <w:rPr>
          <w:b/>
          <w:sz w:val="28"/>
        </w:rPr>
      </w:pPr>
      <w:bookmarkStart w:name="_TOC_250025" w:id="43"/>
      <w:bookmarkEnd w:id="43"/>
      <w:r>
        <w:rPr>
          <w:b/>
          <w:sz w:val="28"/>
        </w:rPr>
        <w:t>监测人员的安全防护措施</w:t>
      </w:r>
    </w:p>
    <w:p>
      <w:pPr>
        <w:pStyle w:val="BodyText"/>
        <w:spacing w:line="364" w:lineRule="auto" w:before="186"/>
        <w:ind w:left="741" w:right="716" w:firstLine="559"/>
      </w:pPr>
      <w:r>
        <w:rPr/>
        <w:t>监测人员必须按规定着装，佩戴好个人防护器具，并注意风向， 在昏暗地区监测时，应配备有照明灯具。</w:t>
      </w:r>
    </w:p>
    <w:p>
      <w:pPr>
        <w:pStyle w:val="Heading1"/>
        <w:numPr>
          <w:ilvl w:val="0"/>
          <w:numId w:val="9"/>
        </w:numPr>
        <w:tabs>
          <w:tab w:pos="984" w:val="left" w:leader="none"/>
        </w:tabs>
        <w:spacing w:line="240" w:lineRule="auto" w:before="2" w:after="0"/>
        <w:ind w:left="983" w:right="0" w:hanging="243"/>
        <w:jc w:val="left"/>
      </w:pPr>
      <w:bookmarkStart w:name="_TOC_250024" w:id="44"/>
      <w:bookmarkEnd w:id="44"/>
      <w:r>
        <w:rPr/>
        <w:t>应急响应</w:t>
      </w:r>
    </w:p>
    <w:p>
      <w:pPr>
        <w:pStyle w:val="ListParagraph"/>
        <w:numPr>
          <w:ilvl w:val="1"/>
          <w:numId w:val="9"/>
        </w:numPr>
        <w:tabs>
          <w:tab w:pos="1237" w:val="left" w:leader="none"/>
        </w:tabs>
        <w:spacing w:line="240" w:lineRule="auto" w:before="209" w:after="0"/>
        <w:ind w:left="1236" w:right="0" w:hanging="496"/>
        <w:jc w:val="both"/>
        <w:rPr>
          <w:b/>
          <w:sz w:val="28"/>
        </w:rPr>
      </w:pPr>
      <w:bookmarkStart w:name="_TOC_250023" w:id="45"/>
      <w:bookmarkEnd w:id="45"/>
      <w:r>
        <w:rPr>
          <w:b/>
          <w:sz w:val="28"/>
        </w:rPr>
        <w:t>分级响应</w:t>
      </w:r>
    </w:p>
    <w:p>
      <w:pPr>
        <w:pStyle w:val="BodyText"/>
        <w:spacing w:line="364" w:lineRule="auto" w:before="186"/>
        <w:ind w:left="741" w:right="716" w:firstLine="559"/>
        <w:jc w:val="both"/>
      </w:pPr>
      <w:r>
        <w:rPr/>
        <w:t>按照环境事件的级别、危害的程度、事故现场的位置及事故现场情况分析结果，人员伤亡及环境破坏严重程度，本单位应急响应根据事件级别分为Ⅰ级响应、Ⅱ级响应、Ⅲ级响应。</w:t>
      </w:r>
    </w:p>
    <w:p>
      <w:pPr>
        <w:pStyle w:val="BodyText"/>
        <w:spacing w:line="364" w:lineRule="auto"/>
        <w:ind w:left="741" w:right="716" w:firstLine="559"/>
        <w:jc w:val="both"/>
      </w:pPr>
      <w:r>
        <w:rPr/>
        <w:t>启动Ⅲ级响应：出现事件分级中车间级事件，如因管道、阀门、接头泄漏等引起的微小污染事故或废气治理设施运行不正常等情况。利用本车间在岗人员或厂内应急力量能够及时处理、解决的事故，启动三级响应，运行现场处置方案，本车间职工参与。由厂内应急救援小组实施抢救工作。</w:t>
      </w:r>
    </w:p>
    <w:p>
      <w:pPr>
        <w:pStyle w:val="BodyText"/>
        <w:spacing w:line="364" w:lineRule="auto"/>
        <w:ind w:left="741" w:right="612" w:firstLine="559"/>
      </w:pPr>
      <w:r>
        <w:rPr/>
        <w:t>启动Ⅱ级响应：出现事件分级中车间、公司级事件，如储罐区发生泄漏，污染物能够被拦截在厂区内，不进入外环境，大气污染物在</w:t>
      </w:r>
      <w:r>
        <w:rPr>
          <w:spacing w:val="-5"/>
        </w:rPr>
        <w:t>大气环境防护距离临界点达标排放。为此需启动二级响应，拨打 </w:t>
      </w:r>
      <w:r>
        <w:rPr/>
        <w:t>110、120</w:t>
      </w:r>
      <w:r>
        <w:rPr>
          <w:spacing w:val="-15"/>
        </w:rPr>
        <w:t> 急救电话，并迅速通知周边友邻单位及应急指挥中心，并启动此预</w:t>
      </w:r>
      <w:r>
        <w:rPr>
          <w:spacing w:val="-3"/>
        </w:rPr>
        <w:t>案，同时对项目周边居住区居民进行应急疏散、救援，特别是下风向</w:t>
      </w:r>
      <w:r>
        <w:rPr/>
        <w:t>范围内人员。周边居民的疏散工作由厂内成员配合公安、政府等部门组织。友邻单位、社会援助队伍进入厂区时，应急指挥组应责成专人联络，引导并告之安全、环保注意事项。本厂的救援专业队，也是外单位事故的救援队和社会救援力量的组成部分，一旦接到救援任务， </w:t>
      </w:r>
      <w:r>
        <w:rPr>
          <w:spacing w:val="-3"/>
        </w:rPr>
        <w:t>要立即组织人员，及时赶赴事故现场。</w:t>
      </w:r>
    </w:p>
    <w:p>
      <w:pPr>
        <w:pStyle w:val="BodyText"/>
        <w:spacing w:line="351" w:lineRule="exact"/>
        <w:ind w:left="1300"/>
      </w:pPr>
      <w:r>
        <w:rPr/>
        <w:t>启动Ⅰ级响应：出现事件分级中一级及以上事件，所发生的事故</w:t>
      </w:r>
    </w:p>
    <w:p>
      <w:pPr>
        <w:spacing w:after="0" w:line="351" w:lineRule="exact"/>
        <w:sectPr>
          <w:pgSz w:w="11910" w:h="16840"/>
          <w:pgMar w:header="0" w:footer="984" w:top="1580" w:bottom="1180" w:left="960" w:right="980"/>
        </w:sectPr>
      </w:pPr>
    </w:p>
    <w:p>
      <w:pPr>
        <w:pStyle w:val="BodyText"/>
        <w:spacing w:line="364" w:lineRule="auto" w:before="102"/>
        <w:ind w:left="741" w:right="523"/>
      </w:pPr>
      <w:r>
        <w:rPr/>
        <w:t>为储存区或装置区大量泄漏可能引发火灾或中毒等事故，迅速波及1km</w:t>
      </w:r>
      <w:r>
        <w:rPr>
          <w:position w:val="14"/>
          <w:sz w:val="14"/>
        </w:rPr>
        <w:t>2 </w:t>
      </w:r>
      <w:r>
        <w:rPr/>
        <w:t>范围以上区域时需立即启动此预案，立即发布公司级预警，拨打环境应急电话 0536- 2203839、110、120，并立即通知应急指挥中心及周边单位、环保部门及地方政府，联动政府请求立即派外部支援力量， 大范围疏散影响范围内居民，特别是下风向的居民。</w:t>
      </w:r>
    </w:p>
    <w:p>
      <w:pPr>
        <w:pStyle w:val="ListParagraph"/>
        <w:numPr>
          <w:ilvl w:val="1"/>
          <w:numId w:val="9"/>
        </w:numPr>
        <w:tabs>
          <w:tab w:pos="1237" w:val="left" w:leader="none"/>
        </w:tabs>
        <w:spacing w:line="356" w:lineRule="exact" w:before="0" w:after="0"/>
        <w:ind w:left="1236" w:right="0" w:hanging="496"/>
        <w:jc w:val="left"/>
        <w:rPr>
          <w:b/>
          <w:sz w:val="28"/>
        </w:rPr>
      </w:pPr>
      <w:bookmarkStart w:name="_TOC_250022" w:id="46"/>
      <w:bookmarkEnd w:id="46"/>
      <w:r>
        <w:rPr>
          <w:b/>
          <w:sz w:val="28"/>
        </w:rPr>
        <w:t>响应程序</w:t>
      </w:r>
    </w:p>
    <w:p>
      <w:pPr>
        <w:pStyle w:val="BodyText"/>
        <w:spacing w:line="364" w:lineRule="auto" w:before="184"/>
        <w:ind w:left="741" w:right="716" w:firstLine="559"/>
        <w:jc w:val="both"/>
      </w:pPr>
      <w:r>
        <w:rPr/>
        <w:t>环境突发事件应急救援针对事故危害程度、影响范围和单位控制事态的能力，将事故分为不同的等级，按照分级负责的原则，明确应急响应级别。应急响应的过程为接警、应急启动、控制及应急行动、扩大应急。</w:t>
      </w:r>
    </w:p>
    <w:p>
      <w:pPr>
        <w:pStyle w:val="ListParagraph"/>
        <w:numPr>
          <w:ilvl w:val="0"/>
          <w:numId w:val="34"/>
        </w:numPr>
        <w:tabs>
          <w:tab w:pos="1725" w:val="left" w:leader="none"/>
        </w:tabs>
        <w:spacing w:line="364" w:lineRule="auto" w:before="0" w:after="0"/>
        <w:ind w:left="741" w:right="718" w:firstLine="559"/>
        <w:jc w:val="both"/>
        <w:rPr>
          <w:sz w:val="28"/>
        </w:rPr>
      </w:pPr>
      <w:r>
        <w:rPr>
          <w:spacing w:val="-4"/>
          <w:sz w:val="28"/>
        </w:rPr>
        <w:t>岗位操作人员或巡检时发现危险目标发生泄漏或发生火灾， </w:t>
      </w:r>
      <w:r>
        <w:rPr>
          <w:sz w:val="28"/>
        </w:rPr>
        <w:t>除立即采取相应措施处理外，同时立即用电话向办公室报警。报警应</w:t>
      </w:r>
      <w:r>
        <w:rPr>
          <w:spacing w:val="-3"/>
          <w:sz w:val="28"/>
        </w:rPr>
        <w:t>口齿清楚，具体说明事故发生的地点、事故状况等。</w:t>
      </w:r>
    </w:p>
    <w:p>
      <w:pPr>
        <w:pStyle w:val="ListParagraph"/>
        <w:numPr>
          <w:ilvl w:val="0"/>
          <w:numId w:val="34"/>
        </w:numPr>
        <w:tabs>
          <w:tab w:pos="1722" w:val="left" w:leader="none"/>
        </w:tabs>
        <w:spacing w:line="364" w:lineRule="auto" w:before="0" w:after="0"/>
        <w:ind w:left="741" w:right="716" w:firstLine="559"/>
        <w:jc w:val="left"/>
        <w:rPr>
          <w:sz w:val="28"/>
        </w:rPr>
      </w:pPr>
      <w:r>
        <w:rPr>
          <w:spacing w:val="-6"/>
          <w:sz w:val="28"/>
        </w:rPr>
        <w:t>办公室接到报警后，依照事故的危险程度，立即向应急领导小</w:t>
      </w:r>
      <w:r>
        <w:rPr>
          <w:spacing w:val="-5"/>
          <w:sz w:val="28"/>
        </w:rPr>
        <w:t>组有关人员汇报，并通知其他人员。</w:t>
      </w:r>
    </w:p>
    <w:p>
      <w:pPr>
        <w:pStyle w:val="ListParagraph"/>
        <w:numPr>
          <w:ilvl w:val="0"/>
          <w:numId w:val="34"/>
        </w:numPr>
        <w:tabs>
          <w:tab w:pos="1722" w:val="left" w:leader="none"/>
        </w:tabs>
        <w:spacing w:line="364" w:lineRule="auto" w:before="0" w:after="0"/>
        <w:ind w:left="741" w:right="716" w:firstLine="559"/>
        <w:jc w:val="both"/>
        <w:rPr>
          <w:sz w:val="28"/>
        </w:rPr>
      </w:pPr>
      <w:r>
        <w:rPr>
          <w:spacing w:val="-4"/>
          <w:sz w:val="28"/>
        </w:rPr>
        <w:t>根据事故地点、事态的发展决定应急救援形式</w:t>
      </w:r>
      <w:r>
        <w:rPr>
          <w:sz w:val="28"/>
        </w:rPr>
        <w:t>（</w:t>
      </w:r>
      <w:r>
        <w:rPr>
          <w:spacing w:val="-2"/>
          <w:sz w:val="28"/>
        </w:rPr>
        <w:t>单位自救或采</w:t>
      </w:r>
      <w:r>
        <w:rPr>
          <w:spacing w:val="-3"/>
          <w:sz w:val="28"/>
        </w:rPr>
        <w:t>取社会救援</w:t>
      </w:r>
      <w:r>
        <w:rPr>
          <w:spacing w:val="-142"/>
          <w:sz w:val="28"/>
        </w:rPr>
        <w:t>）</w:t>
      </w:r>
      <w:r>
        <w:rPr>
          <w:spacing w:val="-7"/>
          <w:sz w:val="28"/>
        </w:rPr>
        <w:t>。发生重大的火灾、爆炸或化学品泄漏事故，依靠本单位</w:t>
      </w:r>
      <w:r>
        <w:rPr>
          <w:sz w:val="28"/>
        </w:rPr>
        <w:t>的力量不能控制，由应急总指挥决定尽早争取社会救援，并立即按程序上报当地环保部门及政府部门，启动相应级别的应急预案。以便尽</w:t>
      </w:r>
      <w:r>
        <w:rPr>
          <w:spacing w:val="-3"/>
          <w:sz w:val="28"/>
        </w:rPr>
        <w:t>快控制事故的发展。</w:t>
      </w:r>
    </w:p>
    <w:p>
      <w:pPr>
        <w:pStyle w:val="BodyText"/>
        <w:spacing w:line="364" w:lineRule="auto"/>
        <w:ind w:left="1300" w:right="3582"/>
      </w:pPr>
      <w:r>
        <w:rPr>
          <w:spacing w:val="-4"/>
        </w:rPr>
        <w:t>扩大或提高应急响应级别的主要依据是： </w:t>
      </w:r>
      <w:r>
        <w:rPr/>
        <w:t>1</w:t>
      </w:r>
      <w:r>
        <w:rPr>
          <w:spacing w:val="-3"/>
        </w:rPr>
        <w:t>、突发环境事件的危险程度；</w:t>
      </w:r>
    </w:p>
    <w:p>
      <w:pPr>
        <w:pStyle w:val="BodyText"/>
        <w:spacing w:line="358" w:lineRule="exact"/>
        <w:ind w:left="1300"/>
      </w:pPr>
      <w:r>
        <w:rPr>
          <w:spacing w:val="-1"/>
        </w:rPr>
        <w:t>2</w:t>
      </w:r>
      <w:r>
        <w:rPr>
          <w:spacing w:val="-3"/>
        </w:rPr>
        <w:t>、突发环境事件的影响范围；</w:t>
      </w:r>
    </w:p>
    <w:p>
      <w:pPr>
        <w:pStyle w:val="BodyText"/>
        <w:spacing w:before="179"/>
        <w:ind w:left="1300"/>
      </w:pPr>
      <w:r>
        <w:rPr/>
        <w:t>3、突发环境事件的控制事态能力。</w:t>
      </w:r>
    </w:p>
    <w:p>
      <w:pPr>
        <w:spacing w:after="0"/>
        <w:sectPr>
          <w:pgSz w:w="11910" w:h="16840"/>
          <w:pgMar w:header="0" w:footer="984" w:top="1580" w:bottom="1180" w:left="960" w:right="980"/>
        </w:sectPr>
      </w:pPr>
    </w:p>
    <w:p>
      <w:pPr>
        <w:pStyle w:val="ListParagraph"/>
        <w:numPr>
          <w:ilvl w:val="1"/>
          <w:numId w:val="9"/>
        </w:numPr>
        <w:tabs>
          <w:tab w:pos="1237" w:val="left" w:leader="none"/>
        </w:tabs>
        <w:spacing w:line="240" w:lineRule="auto" w:before="102" w:after="0"/>
        <w:ind w:left="1236" w:right="0" w:hanging="496"/>
        <w:jc w:val="left"/>
        <w:rPr>
          <w:b/>
          <w:sz w:val="28"/>
        </w:rPr>
      </w:pPr>
      <w:bookmarkStart w:name="_TOC_250021" w:id="47"/>
      <w:bookmarkEnd w:id="47"/>
      <w:r>
        <w:rPr>
          <w:b/>
          <w:sz w:val="28"/>
        </w:rPr>
        <w:t>应急结束</w:t>
      </w:r>
    </w:p>
    <w:p>
      <w:pPr>
        <w:pStyle w:val="ListParagraph"/>
        <w:numPr>
          <w:ilvl w:val="2"/>
          <w:numId w:val="9"/>
        </w:numPr>
        <w:tabs>
          <w:tab w:pos="1798" w:val="left" w:leader="none"/>
        </w:tabs>
        <w:spacing w:line="240" w:lineRule="auto" w:before="186" w:after="0"/>
        <w:ind w:left="1797" w:right="0" w:hanging="776"/>
        <w:jc w:val="left"/>
        <w:rPr>
          <w:b/>
          <w:sz w:val="28"/>
        </w:rPr>
      </w:pPr>
      <w:r>
        <w:rPr>
          <w:b/>
          <w:sz w:val="28"/>
        </w:rPr>
        <w:t>应急终止条件</w:t>
      </w:r>
    </w:p>
    <w:p>
      <w:pPr>
        <w:pStyle w:val="BodyText"/>
        <w:spacing w:line="364" w:lineRule="auto" w:before="186"/>
        <w:ind w:left="741" w:right="716" w:firstLine="559"/>
      </w:pPr>
      <w:r>
        <w:rPr/>
        <w:t>当现场符合以下条件时，按应急响应级别，分别由现场指挥或总指挥宣布应急结束；</w:t>
      </w:r>
    </w:p>
    <w:p>
      <w:pPr>
        <w:pStyle w:val="BodyText"/>
        <w:spacing w:line="364" w:lineRule="auto"/>
        <w:ind w:left="741" w:right="663" w:firstLine="559"/>
      </w:pPr>
      <w:r>
        <w:rPr/>
        <w:t>1、火源已得到控制、扑灭，现场检查确认无残余火种、热源，无物料泄漏；</w:t>
      </w:r>
    </w:p>
    <w:p>
      <w:pPr>
        <w:pStyle w:val="BodyText"/>
        <w:spacing w:line="355" w:lineRule="exact"/>
        <w:ind w:left="1300"/>
      </w:pPr>
      <w:r>
        <w:rPr/>
        <w:t>2、受伤人员已得到有效的救治，失踪人员已确认查实；</w:t>
      </w:r>
    </w:p>
    <w:p>
      <w:pPr>
        <w:pStyle w:val="BodyText"/>
        <w:spacing w:line="364" w:lineRule="auto" w:before="185"/>
        <w:ind w:left="741" w:right="663" w:firstLine="559"/>
      </w:pPr>
      <w:r>
        <w:rPr/>
        <w:t>3、现场事件设备、设施、建筑已检查确认无危险隐患或可能发生次生危害；</w:t>
      </w:r>
    </w:p>
    <w:p>
      <w:pPr>
        <w:pStyle w:val="BodyText"/>
        <w:spacing w:line="358" w:lineRule="exact"/>
        <w:ind w:left="1300"/>
      </w:pPr>
      <w:r>
        <w:rPr/>
        <w:t>4、泄漏物已得到控制，现场经检测无有毒有害气体。</w:t>
      </w:r>
    </w:p>
    <w:p>
      <w:pPr>
        <w:pStyle w:val="BodyText"/>
        <w:spacing w:before="186"/>
        <w:ind w:left="1300"/>
      </w:pPr>
      <w:r>
        <w:rPr/>
        <w:t>如系启动政府应急预案，则由政府应急指挥部宣布应急结束。</w:t>
      </w:r>
    </w:p>
    <w:p>
      <w:pPr>
        <w:spacing w:after="0"/>
        <w:sectPr>
          <w:pgSz w:w="11910" w:h="16840"/>
          <w:pgMar w:header="0" w:footer="984" w:top="1580" w:bottom="1180" w:left="960" w:right="980"/>
        </w:sectPr>
      </w:pPr>
    </w:p>
    <w:p>
      <w:pPr>
        <w:pStyle w:val="BodyText"/>
        <w:rPr>
          <w:sz w:val="20"/>
        </w:rPr>
      </w:pPr>
      <w:r>
        <w:rPr/>
        <w:pict>
          <v:group style="position:absolute;margin-left:235.679993pt;margin-top:92.519768pt;width:135.75pt;height:102.15pt;mso-position-horizontal-relative:page;mso-position-vertical-relative:page;z-index:-260783104" coordorigin="4714,1850" coordsize="2715,2043">
            <v:shape style="position:absolute;left:6100;top:2630;width:120;height:788" coordorigin="6101,2630" coordsize="120,788" path="m6154,3298l6101,3298,6161,3418,6208,3324,6161,3324,6156,3322,6154,3317,6154,3298xm6161,2630l6156,2633,6154,2638,6154,3317,6156,3322,6161,3324,6168,3322,6170,3317,6168,2638,6166,2633,6161,2630xm6221,3298l6170,3298,6170,3317,6168,3322,6161,3324,6208,3324,6221,3298xe" filled="true" fillcolor="#000000" stroked="false">
              <v:path arrowok="t"/>
              <v:fill type="solid"/>
            </v:shape>
            <v:shape style="position:absolute;left:4720;top:1857;width:2700;height:1092" coordorigin="4721,1858" coordsize="2700,1092" path="m5285,2040l5393,2251,4870,2275,5213,2443,4721,2508,5138,2633,4882,2758,5323,2779,5338,2950,5664,2774,5909,2774,5957,2736,6209,2736,6245,2662,6572,2662,6552,2582,6962,2582,6770,2479,7006,2429,6845,2333,7421,2194,6770,2186,6779,2179,5791,2179,5285,2040xm5909,2774l5664,2774,5810,2854,5909,2774xm6209,2736l5957,2736,6173,2810,6209,2736xm6572,2662l6245,2662,6590,2736,6572,2662xm6962,2582l6552,2582,7082,2647,6962,2582xm5938,1951l5791,2179,6779,2179,6816,2148,6538,2148,6546,2076,6154,2076,5938,1951xm6972,2018l6538,2148,6816,2148,6972,2018xm6571,1858l6154,2076,6546,2076,6571,1858xe" filled="true" fillcolor="#ffffff" stroked="false">
              <v:path arrowok="t"/>
              <v:fill type="solid"/>
            </v:shape>
            <v:shape style="position:absolute;left:4720;top:1857;width:2700;height:1092" coordorigin="4721,1858" coordsize="2700,1092" path="m6154,2076l5938,1951,5791,2179,5285,2040,5393,2251,4870,2275,5213,2443,4721,2508,5138,2633,4882,2758,5323,2779,5338,2950,5664,2774,5810,2854,5957,2736,6173,2810,6245,2662,6590,2736,6552,2582,7082,2647,6770,2479,7006,2429,6845,2333,7421,2194,6770,2186,6972,2018,6538,2148,6571,1858,6154,2076xe" filled="false" stroked="true" strokeweight=".72pt" strokecolor="#000000">
              <v:path arrowok="t"/>
              <v:stroke dashstyle="solid"/>
            </v:shape>
            <v:shape style="position:absolute;left:4713;top:1850;width:2715;height:1568" type="#_x0000_t202" filled="false" stroked="false">
              <v:textbox inset="0,0,0,0">
                <w:txbxContent>
                  <w:p>
                    <w:pPr>
                      <w:spacing w:line="240" w:lineRule="auto" w:before="3"/>
                      <w:rPr>
                        <w:sz w:val="28"/>
                      </w:rPr>
                    </w:pPr>
                  </w:p>
                  <w:p>
                    <w:pPr>
                      <w:spacing w:before="0"/>
                      <w:ind w:left="787" w:right="0" w:firstLine="0"/>
                      <w:jc w:val="left"/>
                      <w:rPr>
                        <w:rFonts w:ascii="宋体" w:eastAsia="宋体" w:hint="eastAsia"/>
                        <w:b/>
                        <w:sz w:val="24"/>
                      </w:rPr>
                    </w:pPr>
                    <w:r>
                      <w:rPr>
                        <w:rFonts w:ascii="宋体" w:eastAsia="宋体" w:hint="eastAsia"/>
                        <w:b/>
                        <w:sz w:val="24"/>
                      </w:rPr>
                      <w:t>事故发生</w:t>
                    </w:r>
                  </w:p>
                </w:txbxContent>
              </v:textbox>
              <w10:wrap type="none"/>
            </v:shape>
            <v:shape style="position:absolute;left:5620;top:3417;width:1080;height:468" type="#_x0000_t202" filled="false" stroked="true" strokeweight=".72pt" strokecolor="#000000">
              <v:textbox inset="0,0,0,0">
                <w:txbxContent>
                  <w:p>
                    <w:pPr>
                      <w:spacing w:before="72"/>
                      <w:ind w:left="293" w:right="0" w:firstLine="0"/>
                      <w:jc w:val="left"/>
                      <w:rPr>
                        <w:rFonts w:ascii="宋体" w:eastAsia="宋体" w:hint="eastAsia"/>
                        <w:sz w:val="24"/>
                      </w:rPr>
                    </w:pPr>
                    <w:r>
                      <w:rPr>
                        <w:rFonts w:ascii="宋体" w:eastAsia="宋体" w:hint="eastAsia"/>
                        <w:sz w:val="24"/>
                      </w:rPr>
                      <w:t>接警</w:t>
                    </w:r>
                  </w:p>
                </w:txbxContent>
              </v:textbox>
              <v:stroke dashstyle="solid"/>
              <w10:wrap type="none"/>
            </v:shape>
            <w10:wrap type="none"/>
          </v:group>
        </w:pict>
      </w:r>
      <w:r>
        <w:rPr/>
        <w:pict>
          <v:line style="position:absolute;mso-position-horizontal-relative:page;mso-position-vertical-relative:page;z-index:-260780032" from="146.039993pt,428.279772pt" to="146.039993pt,397.079773pt" stroked="true" strokeweight=".72pt" strokecolor="#000000">
            <v:stroke dashstyle="solid"/>
            <w10:wrap type="none"/>
          </v:line>
        </w:pict>
      </w:r>
      <w:r>
        <w:rPr/>
        <w:pict>
          <v:shape style="position:absolute;margin-left:190.679993pt;margin-top:378.479767pt;width:72.4pt;height:6pt;mso-position-horizontal-relative:page;mso-position-vertical-relative:page;z-index:-260779008" coordorigin="3814,7570" coordsize="1448,120" path="m5141,7570l5141,7690,5246,7637,5162,7637,5167,7634,5170,7630,5167,7625,5162,7622,5246,7622,5141,7570xm5141,7622l3821,7622,3816,7625,3814,7630,3816,7634,3821,7637,5141,7637,5141,7622xm5246,7622l5162,7622,5167,7625,5170,7630,5167,7634,5162,7637,5246,7637,5261,7630,5246,7622xe" filled="true" fillcolor="#00000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BodyText"/>
        <w:ind w:left="1232"/>
        <w:rPr>
          <w:sz w:val="20"/>
        </w:rPr>
      </w:pPr>
      <w:r>
        <w:rPr>
          <w:sz w:val="20"/>
        </w:rPr>
        <w:pict>
          <v:group style="width:424pt;height:416.8pt;mso-position-horizontal-relative:char;mso-position-vertical-relative:line" coordorigin="0,0" coordsize="8480,8336">
            <v:shape style="position:absolute;left:2527;top:840;width:2880;height:1404" coordorigin="2527,840" coordsize="2880,1404" path="m3967,840l2527,1541,3967,2244,5407,1541,3967,840xe" filled="false" stroked="true" strokeweight=".72pt" strokecolor="#000000">
              <v:path arrowok="t"/>
              <v:stroke dashstyle="solid"/>
            </v:shape>
            <v:shape style="position:absolute;left:3907;top:364;width:120;height:476" coordorigin="3907,365" coordsize="120,476" path="m3960,720l3907,720,3967,840,4014,746,3967,746,3962,744,3960,739,3960,720xm3967,365l3962,367,3960,372,3960,739,3962,744,3967,746,3974,744,3977,739,3974,372,3972,367,3967,365xm4027,720l3977,720,3977,739,3974,744,3967,746,4014,746,4027,720xe" filled="true" fillcolor="#000000" stroked="false">
              <v:path arrowok="t"/>
              <v:fill type="solid"/>
            </v:shape>
            <v:shape style="position:absolute;left:3907;top:2236;width:120;height:476" coordorigin="3907,2237" coordsize="120,476" path="m3960,2592l3907,2592,3967,2712,4014,2618,3967,2618,3962,2616,3960,2611,3960,2592xm3967,2237l3962,2239,3960,2244,3960,2611,3962,2616,3967,2618,3974,2616,3977,2611,3974,2244,3972,2239,3967,2237xm4027,2592l3977,2592,3977,2611,3974,2616,3967,2618,4014,2618,4027,2592xe" filled="true" fillcolor="#000000" stroked="false">
              <v:path arrowok="t"/>
              <v:fill type="solid"/>
            </v:shape>
            <v:rect style="position:absolute;left:3967;top:2244;width:360;height:468" filled="true" fillcolor="#ffffff" stroked="false">
              <v:fill type="solid"/>
            </v:rect>
            <v:rect style="position:absolute;left:3967;top:2244;width:360;height:468" filled="false" stroked="true" strokeweight=".72pt" strokecolor="#ffffff">
              <v:stroke dashstyle="solid"/>
            </v:rect>
            <v:line style="position:absolute" from="6847,1152" to="6847,60" stroked="true" strokeweight=".72pt" strokecolor="#000000">
              <v:stroke dashstyle="solid"/>
            </v:line>
            <v:shape style="position:absolute;left:4507;top:0;width:2350;height:120" coordorigin="4507,0" coordsize="2350,120" path="m4627,0l4507,60,4627,120,4627,67,4608,67,4603,65,4601,60,4603,55,4608,53,4627,53,4627,0xm4627,53l4608,53,4603,55,4601,60,4603,65,4608,67,4627,67,4627,53xm6847,53l4627,53,4627,67,6847,67,6854,65,6857,60,6854,55,6847,53xe" filled="true" fillcolor="#000000" stroked="false">
              <v:path arrowok="t"/>
              <v:fill type="solid"/>
            </v:shape>
            <v:rect style="position:absolute;left:5227;top:840;width:360;height:468" filled="true" fillcolor="#ffffff" stroked="false">
              <v:fill type="solid"/>
            </v:rect>
            <v:rect style="position:absolute;left:5227;top:840;width:360;height:468" filled="false" stroked="true" strokeweight=".72pt" strokecolor="#ffffff">
              <v:stroke dashstyle="solid"/>
            </v:rect>
            <v:shape style="position:absolute;left:5400;top:1404;width:1268;height:120" coordorigin="5400,1404" coordsize="1268,120" path="m6547,1404l6547,1524,6653,1471,6566,1471,6574,1469,6576,1464,6574,1459,6566,1457,6653,1457,6547,1404xm6547,1457l5407,1457,5402,1459,5400,1464,5402,1469,5407,1471,6547,1471,6547,1457xm6653,1457l6566,1457,6574,1459,6576,1464,6574,1469,6566,1471,6653,1471,6667,1464,6653,1457xe" filled="true" fillcolor="#000000" stroked="false">
              <v:path arrowok="t"/>
              <v:fill type="solid"/>
            </v:shape>
            <v:line style="position:absolute" from="6487,2244" to="6127,2244" stroked="true" strokeweight=".72pt" strokecolor="#000000">
              <v:stroke dashstyle="solid"/>
            </v:line>
            <v:shape style="position:absolute;left:2527;top:4896;width:2880;height:936" coordorigin="2527,4896" coordsize="2880,936" path="m3967,4896l2527,5364,3967,5832,5407,5364,3967,4896xe" filled="false" stroked="true" strokeweight=".72pt" strokecolor="#000000">
              <v:path arrowok="t"/>
              <v:stroke dashstyle="solid"/>
            </v:shape>
            <v:shape style="position:absolute;left:5407;top:5304;width:1088;height:120" coordorigin="5407,5304" coordsize="1088,120" path="m5527,5304l5407,5364,5527,5424,5527,5371,5508,5371,5503,5369,5501,5364,5503,5359,5508,5357,5527,5357,5527,5304xm5527,5357l5508,5357,5503,5359,5501,5364,5503,5369,5508,5371,5527,5371,5527,5357xm6487,5357l5527,5357,5527,5371,6487,5371,6492,5369,6494,5364,6492,5359,6487,5357xe" filled="true" fillcolor="#000000" stroked="false">
              <v:path arrowok="t"/>
              <v:fill type="solid"/>
            </v:shape>
            <v:rect style="position:absolute;left:5407;top:4896;width:1080;height:468" filled="true" fillcolor="#ffffff" stroked="false">
              <v:fill type="solid"/>
            </v:rect>
            <v:rect style="position:absolute;left:5407;top:4896;width:1080;height:468" filled="false" stroked="true" strokeweight=".72pt" strokecolor="#ffffff">
              <v:stroke dashstyle="solid"/>
            </v:rect>
            <v:shape style="position:absolute;left:5407;top:5304;width:1088;height:120" coordorigin="5407,5304" coordsize="1088,120" path="m5527,5304l5407,5364,5527,5424,5527,5371,5508,5371,5503,5369,5501,5364,5503,5359,5508,5357,5527,5357,5527,5304xm5527,5357l5508,5357,5503,5359,5501,5364,5503,5369,5508,5371,5527,5371,5527,5357xm6487,5357l5527,5357,5527,5371,6487,5371,6492,5369,6494,5364,6492,5359,6487,5357xe" filled="true" fillcolor="#000000" stroked="false">
              <v:path arrowok="t"/>
              <v:fill type="solid"/>
            </v:shape>
            <v:shape style="position:absolute;left:1627;top:5304;width:910;height:120" coordorigin="1627,5304" coordsize="910,120" path="m1747,5304l1627,5364,1747,5424,1747,5371,1728,5371,1723,5369,1721,5364,1723,5359,1728,5357,1747,5357,1747,5304xm1747,5357l1728,5357,1723,5359,1721,5364,1723,5369,1728,5371,1747,5371,1747,5357xm2527,5357l1747,5357,1747,5371,2527,5371,2534,5369,2537,5364,2534,5359,2527,5357xe" filled="true" fillcolor="#000000" stroked="false">
              <v:path arrowok="t"/>
              <v:fill type="solid"/>
            </v:shape>
            <v:shape style="position:absolute;left:3907;top:5824;width:120;height:632" coordorigin="3907,5825" coordsize="120,632" path="m3960,6336l3907,6336,3967,6456,4014,6362,3967,6362,3962,6360,3960,6355,3960,6336xm3967,5825l3962,5827,3960,5832,3960,6355,3962,6360,3967,6362,3972,6360,3974,6355,3974,5832,3972,5827,3967,5825xm4027,6336l3974,6336,3974,6355,3972,6360,3967,6362,4014,6362,4027,6336xe" filled="true" fillcolor="#000000" stroked="false">
              <v:path arrowok="t"/>
              <v:fill type="solid"/>
            </v:shape>
            <v:line style="position:absolute" from="1627,6300" to="1987,6300" stroked="true" strokeweight=".72pt" strokecolor="#000000">
              <v:stroke dashstyle="solid"/>
            </v:line>
            <v:line style="position:absolute" from="1627,6924" to="1987,6924" stroked="true" strokeweight=".72pt" strokecolor="#000000">
              <v:stroke dashstyle="solid"/>
            </v:line>
            <v:line style="position:absolute" from="1627,7548" to="1987,7548" stroked="true" strokeweight=".72pt" strokecolor="#000000">
              <v:stroke dashstyle="solid"/>
            </v:line>
            <v:line style="position:absolute" from="1627,8172" to="1987,8172" stroked="true" strokeweight=".72pt" strokecolor="#000000">
              <v:stroke dashstyle="solid"/>
            </v:line>
            <v:line style="position:absolute" from="1987,6300" to="1987,8172" stroked="true" strokeweight=".72pt" strokecolor="#000000">
              <v:stroke dashstyle="solid"/>
            </v:line>
            <v:line style="position:absolute" from="1987,6924" to="3247,6924" stroked="true" strokeweight=".72pt" strokecolor="#000000">
              <v:stroke dashstyle="solid"/>
            </v:line>
            <v:line style="position:absolute" from="6487,4584" to="6127,4584" stroked="true" strokeweight=".72pt" strokecolor="#000000">
              <v:stroke dashstyle="solid"/>
            </v:line>
            <v:line style="position:absolute" from="6487,3804" to="6127,3804" stroked="true" strokeweight=".72pt" strokecolor="#000000">
              <v:stroke dashstyle="solid"/>
            </v:line>
            <v:line style="position:absolute" from="6487,3024" to="6127,3024" stroked="true" strokeweight=".72pt" strokecolor="#000000">
              <v:stroke dashstyle="solid"/>
            </v:line>
            <v:line style="position:absolute" from="6127,2244" to="6127,5364" stroked="true" strokeweight=".72pt" strokecolor="#000000">
              <v:stroke dashstyle="solid"/>
            </v:line>
            <v:line style="position:absolute" from="4867,4116" to="6127,4116" stroked="true" strokeweight=".72pt" strokecolor="#000000">
              <v:stroke dashstyle="solid"/>
            </v:line>
            <v:shape style="position:absolute;left:3907;top:3172;width:120;height:632" coordorigin="3907,3173" coordsize="120,632" path="m3960,3684l3907,3684,3967,3804,4014,3710,3967,3710,3962,3708,3960,3703,3960,3684xm3967,3173l3962,3175,3960,3180,3960,3703,3962,3708,3967,3710,3974,3708,3977,3703,3974,3180,3972,3175,3967,3173xm4027,3684l3977,3684,3977,3703,3974,3708,3967,3710,4014,3710,4027,3684xe" filled="true" fillcolor="#000000" stroked="false">
              <v:path arrowok="t"/>
              <v:fill type="solid"/>
            </v:shape>
            <v:line style="position:absolute" from="1627,1308" to="1807,1308" stroked="true" strokeweight=".72pt" strokecolor="#000000">
              <v:stroke dashstyle="solid"/>
            </v:line>
            <v:line style="position:absolute" from="1627,2088" to="1807,2088" stroked="true" strokeweight=".72pt" strokecolor="#000000">
              <v:stroke dashstyle="solid"/>
            </v:line>
            <v:line style="position:absolute" from="1627,684" to="1807,684" stroked="true" strokeweight=".72pt" strokecolor="#000000">
              <v:stroke dashstyle="solid"/>
            </v:line>
            <v:line style="position:absolute" from="1627,2868" to="1807,2868" stroked="true" strokeweight=".72pt" strokecolor="#000000">
              <v:stroke dashstyle="solid"/>
            </v:line>
            <v:line style="position:absolute" from="1807,684" to="1807,2868" stroked="true" strokeweight=".72pt" strokecolor="#000000">
              <v:stroke dashstyle="solid"/>
            </v:line>
            <v:line style="position:absolute" from="1807,2868" to="3067,2868" stroked="true" strokeweight=".72pt" strokecolor="#000000">
              <v:stroke dashstyle="solid"/>
            </v:line>
            <v:shape style="position:absolute;left:3907;top:4264;width:120;height:632" coordorigin="3907,4265" coordsize="120,632" path="m3960,4776l3907,4776,3967,4896,4014,4802,3967,4802,3962,4800,3960,4795,3960,4776xm3967,4265l3962,4267,3960,4272,3960,4795,3962,4800,3967,4802,3972,4800,3974,4795,3974,4272,3972,4267,3967,4265xm4027,4776l3974,4776,3974,4795,3972,4800,3967,4802,4014,4802,4027,4776xe" filled="true" fillcolor="#000000" stroked="false">
              <v:path arrowok="t"/>
              <v:fill type="solid"/>
            </v:shape>
            <v:shape style="position:absolute;left:3907;top:2236;width:120;height:476" coordorigin="3907,2237" coordsize="120,476" path="m3960,2592l3907,2592,3967,2712,4014,2618,3967,2618,3962,2616,3960,2611,3960,2592xm3967,2237l3962,2239,3960,2244,3960,2611,3962,2616,3967,2618,3972,2616,3974,2611,3974,2244,3972,2239,3967,2237xm4027,2592l3974,2592,3974,2611,3972,2616,3967,2618,4014,2618,4027,2592xe" filled="true" fillcolor="#000000" stroked="false">
              <v:path arrowok="t"/>
              <v:fill type="solid"/>
            </v:shape>
            <v:line style="position:absolute" from="6487,6062" to="6127,6065" stroked="true" strokeweight=".72pt" strokecolor="#000000">
              <v:stroke dashstyle="solid"/>
            </v:line>
            <v:line style="position:absolute" from="6127,5282" to="6127,6062" stroked="true" strokeweight=".72pt" strokecolor="#000000">
              <v:stroke dashstyle="solid"/>
            </v:line>
            <v:shape style="position:absolute;left:5380;top:942;width:200;height:180" type="#_x0000_t202" filled="false" stroked="false">
              <v:textbox inset="0,0,0,0">
                <w:txbxContent>
                  <w:p>
                    <w:pPr>
                      <w:spacing w:line="180" w:lineRule="exact" w:before="0"/>
                      <w:ind w:left="0" w:right="0" w:firstLine="0"/>
                      <w:jc w:val="left"/>
                      <w:rPr>
                        <w:rFonts w:ascii="宋体" w:eastAsia="宋体" w:hint="eastAsia"/>
                        <w:sz w:val="18"/>
                      </w:rPr>
                    </w:pPr>
                    <w:r>
                      <w:rPr>
                        <w:rFonts w:ascii="宋体" w:eastAsia="宋体" w:hint="eastAsia"/>
                        <w:sz w:val="18"/>
                      </w:rPr>
                      <w:t>否</w:t>
                    </w:r>
                  </w:p>
                </w:txbxContent>
              </v:textbox>
              <w10:wrap type="none"/>
            </v:shape>
            <v:shape style="position:absolute;left:3487;top:1265;width:980;height:550" type="#_x0000_t202" filled="false" stroked="false">
              <v:textbox inset="0,0,0,0">
                <w:txbxContent>
                  <w:p>
                    <w:pPr>
                      <w:spacing w:line="274" w:lineRule="exact" w:before="0"/>
                      <w:ind w:left="0" w:right="0" w:firstLine="0"/>
                      <w:jc w:val="left"/>
                      <w:rPr>
                        <w:rFonts w:ascii="宋体" w:eastAsia="宋体" w:hint="eastAsia"/>
                        <w:sz w:val="24"/>
                      </w:rPr>
                    </w:pPr>
                    <w:r>
                      <w:rPr>
                        <w:rFonts w:ascii="宋体" w:eastAsia="宋体" w:hint="eastAsia"/>
                        <w:sz w:val="24"/>
                      </w:rPr>
                      <w:t>警情判断</w:t>
                    </w:r>
                  </w:p>
                  <w:p>
                    <w:pPr>
                      <w:spacing w:line="274" w:lineRule="exact" w:before="2"/>
                      <w:ind w:left="0" w:right="0" w:firstLine="0"/>
                      <w:jc w:val="left"/>
                      <w:rPr>
                        <w:rFonts w:ascii="宋体" w:eastAsia="宋体" w:hint="eastAsia"/>
                        <w:sz w:val="24"/>
                      </w:rPr>
                    </w:pPr>
                    <w:r>
                      <w:rPr>
                        <w:rFonts w:ascii="宋体" w:eastAsia="宋体" w:hint="eastAsia"/>
                        <w:sz w:val="24"/>
                      </w:rPr>
                      <w:t>应急响应</w:t>
                    </w:r>
                  </w:p>
                </w:txbxContent>
              </v:textbox>
              <w10:wrap type="none"/>
            </v:shape>
            <v:shape style="position:absolute;left:4118;top:2348;width:200;height:180" type="#_x0000_t202" filled="false" stroked="false">
              <v:textbox inset="0,0,0,0">
                <w:txbxContent>
                  <w:p>
                    <w:pPr>
                      <w:spacing w:line="180" w:lineRule="exact" w:before="0"/>
                      <w:ind w:left="0" w:right="0" w:firstLine="0"/>
                      <w:jc w:val="left"/>
                      <w:rPr>
                        <w:rFonts w:ascii="宋体" w:eastAsia="宋体" w:hint="eastAsia"/>
                        <w:sz w:val="18"/>
                      </w:rPr>
                    </w:pPr>
                    <w:r>
                      <w:rPr>
                        <w:rFonts w:ascii="宋体" w:eastAsia="宋体" w:hint="eastAsia"/>
                        <w:sz w:val="18"/>
                      </w:rPr>
                      <w:t>是</w:t>
                    </w:r>
                  </w:p>
                </w:txbxContent>
              </v:textbox>
              <w10:wrap type="none"/>
            </v:shape>
            <v:shape style="position:absolute;left:2140;top:4842;width:200;height:180" type="#_x0000_t202" filled="false" stroked="false">
              <v:textbox inset="0,0,0,0">
                <w:txbxContent>
                  <w:p>
                    <w:pPr>
                      <w:spacing w:line="180" w:lineRule="exact" w:before="0"/>
                      <w:ind w:left="0" w:right="0" w:firstLine="0"/>
                      <w:jc w:val="left"/>
                      <w:rPr>
                        <w:rFonts w:ascii="宋体" w:eastAsia="宋体" w:hint="eastAsia"/>
                        <w:sz w:val="18"/>
                      </w:rPr>
                    </w:pPr>
                    <w:r>
                      <w:rPr>
                        <w:rFonts w:ascii="宋体" w:eastAsia="宋体" w:hint="eastAsia"/>
                        <w:sz w:val="18"/>
                      </w:rPr>
                      <w:t>否</w:t>
                    </w:r>
                  </w:p>
                </w:txbxContent>
              </v:textbox>
              <w10:wrap type="none"/>
            </v:shape>
            <v:shape style="position:absolute;left:5558;top:4998;width:560;height:180" type="#_x0000_t202" filled="false" stroked="false">
              <v:textbox inset="0,0,0,0">
                <w:txbxContent>
                  <w:p>
                    <w:pPr>
                      <w:spacing w:line="180" w:lineRule="exact" w:before="0"/>
                      <w:ind w:left="0" w:right="0" w:firstLine="0"/>
                      <w:jc w:val="left"/>
                      <w:rPr>
                        <w:rFonts w:ascii="宋体" w:eastAsia="宋体" w:hint="eastAsia"/>
                        <w:sz w:val="18"/>
                      </w:rPr>
                    </w:pPr>
                    <w:r>
                      <w:rPr>
                        <w:rFonts w:ascii="宋体" w:eastAsia="宋体" w:hint="eastAsia"/>
                        <w:sz w:val="18"/>
                      </w:rPr>
                      <w:t>不可控</w:t>
                    </w:r>
                  </w:p>
                </w:txbxContent>
              </v:textbox>
              <w10:wrap type="none"/>
            </v:shape>
            <v:shape style="position:absolute;left:3487;top:5203;width:980;height:240" type="#_x0000_t202" filled="false" stroked="false">
              <v:textbox inset="0,0,0,0">
                <w:txbxContent>
                  <w:p>
                    <w:pPr>
                      <w:spacing w:line="240" w:lineRule="exact" w:before="0"/>
                      <w:ind w:left="0" w:right="0" w:firstLine="0"/>
                      <w:jc w:val="left"/>
                      <w:rPr>
                        <w:rFonts w:ascii="宋体" w:eastAsia="宋体" w:hint="eastAsia"/>
                        <w:sz w:val="24"/>
                      </w:rPr>
                    </w:pPr>
                    <w:r>
                      <w:rPr>
                        <w:rFonts w:ascii="宋体" w:eastAsia="宋体" w:hint="eastAsia"/>
                        <w:sz w:val="24"/>
                      </w:rPr>
                      <w:t>事态控制</w:t>
                    </w:r>
                  </w:p>
                </w:txbxContent>
              </v:textbox>
              <w10:wrap type="none"/>
            </v:shape>
            <v:shape style="position:absolute;left:4478;top:5936;width:200;height:180" type="#_x0000_t202" filled="false" stroked="false">
              <v:textbox inset="0,0,0,0">
                <w:txbxContent>
                  <w:p>
                    <w:pPr>
                      <w:spacing w:line="180" w:lineRule="exact" w:before="0"/>
                      <w:ind w:left="0" w:right="0" w:firstLine="0"/>
                      <w:jc w:val="left"/>
                      <w:rPr>
                        <w:rFonts w:ascii="宋体" w:eastAsia="宋体" w:hint="eastAsia"/>
                        <w:sz w:val="18"/>
                      </w:rPr>
                    </w:pPr>
                    <w:r>
                      <w:rPr>
                        <w:rFonts w:ascii="宋体" w:eastAsia="宋体" w:hint="eastAsia"/>
                        <w:sz w:val="18"/>
                      </w:rPr>
                      <w:t>是</w:t>
                    </w:r>
                  </w:p>
                </w:txbxContent>
              </v:textbox>
              <w10:wrap type="none"/>
            </v:shape>
            <v:shape style="position:absolute;left:7;top:7860;width:1620;height:468"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事故调查</w:t>
                    </w:r>
                  </w:p>
                </w:txbxContent>
              </v:textbox>
              <v:stroke dashstyle="solid"/>
              <w10:wrap type="none"/>
            </v:shape>
            <v:shape style="position:absolute;left:7;top:7236;width:1620;height:468"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善后处理</w:t>
                    </w:r>
                  </w:p>
                </w:txbxContent>
              </v:textbox>
              <v:stroke dashstyle="solid"/>
              <w10:wrap type="none"/>
            </v:shape>
            <v:shape style="position:absolute;left:7;top:6612;width:1620;height:468"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解除警戒</w:t>
                    </w:r>
                  </w:p>
                </w:txbxContent>
              </v:textbox>
              <v:stroke dashstyle="solid"/>
              <w10:wrap type="none"/>
            </v:shape>
            <v:shape style="position:absolute;left:3247;top:6456;width:1620;height:624"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应急恢复</w:t>
                    </w:r>
                  </w:p>
                </w:txbxContent>
              </v:textbox>
              <v:stroke dashstyle="solid"/>
              <w10:wrap type="none"/>
            </v:shape>
            <v:shape style="position:absolute;left:7;top:5988;width:1620;height:468"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现场清理</w:t>
                    </w:r>
                  </w:p>
                </w:txbxContent>
              </v:textbox>
              <v:stroke dashstyle="solid"/>
              <w10:wrap type="none"/>
            </v:shape>
            <v:shape style="position:absolute;left:7;top:5052;width:1620;height:624"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应急增援</w:t>
                    </w:r>
                  </w:p>
                </w:txbxContent>
              </v:textbox>
              <v:stroke dashstyle="solid"/>
              <w10:wrap type="none"/>
            </v:shape>
            <v:shape style="position:absolute;left:7;top:3804;width:1620;height:624"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扩大应急</w:t>
                    </w:r>
                  </w:p>
                </w:txbxContent>
              </v:textbox>
              <v:stroke dashstyle="solid"/>
              <w10:wrap type="none"/>
            </v:shape>
            <v:shape style="position:absolute;left:6487;top:5906;width:1982;height:468" type="#_x0000_t202" filled="false" stroked="true" strokeweight=".72pt" strokecolor="#000000">
              <v:textbox inset="0,0,0,0">
                <w:txbxContent>
                  <w:p>
                    <w:pPr>
                      <w:spacing w:before="72"/>
                      <w:ind w:left="504" w:right="0" w:firstLine="0"/>
                      <w:jc w:val="left"/>
                      <w:rPr>
                        <w:rFonts w:ascii="宋体" w:eastAsia="宋体" w:hint="eastAsia"/>
                        <w:sz w:val="24"/>
                      </w:rPr>
                    </w:pPr>
                    <w:r>
                      <w:rPr>
                        <w:rFonts w:ascii="宋体" w:eastAsia="宋体" w:hint="eastAsia"/>
                        <w:sz w:val="24"/>
                      </w:rPr>
                      <w:t>应急</w:t>
                    </w:r>
                    <w:r>
                      <w:rPr>
                        <w:rFonts w:ascii="宋体" w:eastAsia="宋体" w:hint="eastAsia"/>
                        <w:strike/>
                        <w:sz w:val="24"/>
                      </w:rPr>
                      <w:t>避</w:t>
                    </w:r>
                    <w:r>
                      <w:rPr>
                        <w:rFonts w:ascii="宋体" w:eastAsia="宋体" w:hint="eastAsia"/>
                        <w:strike w:val="0"/>
                        <w:sz w:val="24"/>
                      </w:rPr>
                      <w:t>险</w:t>
                    </w:r>
                  </w:p>
                </w:txbxContent>
              </v:textbox>
              <v:stroke dashstyle="solid"/>
              <w10:wrap type="none"/>
            </v:shape>
            <v:shape style="position:absolute;left:6487;top:4272;width:1982;height:468" type="#_x0000_t202" filled="false" stroked="true" strokeweight=".72pt" strokecolor="#000000">
              <v:textbox inset="0,0,0,0">
                <w:txbxContent>
                  <w:p>
                    <w:pPr>
                      <w:spacing w:before="72"/>
                      <w:ind w:left="144" w:right="0" w:firstLine="0"/>
                      <w:jc w:val="left"/>
                      <w:rPr>
                        <w:rFonts w:ascii="宋体" w:eastAsia="宋体" w:hint="eastAsia"/>
                        <w:sz w:val="24"/>
                      </w:rPr>
                    </w:pPr>
                    <w:r>
                      <w:rPr>
                        <w:rFonts w:ascii="宋体" w:eastAsia="宋体" w:hint="eastAsia"/>
                        <w:sz w:val="24"/>
                      </w:rPr>
                      <w:t>人员撤离、疏散</w:t>
                    </w:r>
                  </w:p>
                </w:txbxContent>
              </v:textbox>
              <v:stroke dashstyle="solid"/>
              <w10:wrap type="none"/>
            </v:shape>
            <v:shape style="position:absolute;left:3067;top:3804;width:1800;height:468" type="#_x0000_t202" filled="false" stroked="true" strokeweight=".72pt" strokecolor="#000000">
              <v:textbox inset="0,0,0,0">
                <w:txbxContent>
                  <w:p>
                    <w:pPr>
                      <w:spacing w:before="72"/>
                      <w:ind w:left="412" w:right="0" w:firstLine="0"/>
                      <w:jc w:val="left"/>
                      <w:rPr>
                        <w:rFonts w:ascii="宋体" w:eastAsia="宋体" w:hint="eastAsia"/>
                        <w:sz w:val="24"/>
                      </w:rPr>
                    </w:pPr>
                    <w:r>
                      <w:rPr>
                        <w:rFonts w:ascii="宋体" w:eastAsia="宋体" w:hint="eastAsia"/>
                        <w:sz w:val="24"/>
                      </w:rPr>
                      <w:t>应急救援</w:t>
                    </w:r>
                  </w:p>
                </w:txbxContent>
              </v:textbox>
              <v:stroke dashstyle="solid"/>
              <w10:wrap type="none"/>
            </v:shape>
            <v:shape style="position:absolute;left:6487;top:3492;width:1982;height:468" type="#_x0000_t202" filled="false" stroked="true" strokeweight=".72pt" strokecolor="#000000">
              <v:textbox inset="0,0,0,0">
                <w:txbxContent>
                  <w:p>
                    <w:pPr>
                      <w:spacing w:before="72"/>
                      <w:ind w:left="504" w:right="0" w:firstLine="0"/>
                      <w:jc w:val="left"/>
                      <w:rPr>
                        <w:rFonts w:ascii="宋体" w:eastAsia="宋体" w:hint="eastAsia"/>
                        <w:sz w:val="24"/>
                      </w:rPr>
                    </w:pPr>
                    <w:r>
                      <w:rPr>
                        <w:rFonts w:ascii="宋体" w:eastAsia="宋体" w:hint="eastAsia"/>
                        <w:sz w:val="24"/>
                      </w:rPr>
                      <w:t>医疗救护</w:t>
                    </w:r>
                  </w:p>
                </w:txbxContent>
              </v:textbox>
              <v:stroke dashstyle="solid"/>
              <w10:wrap type="none"/>
            </v:shape>
            <v:shape style="position:absolute;left:6487;top:2712;width:1982;height:468" type="#_x0000_t202" filled="false" stroked="true" strokeweight=".72pt" strokecolor="#000000">
              <v:textbox inset="0,0,0,0">
                <w:txbxContent>
                  <w:p>
                    <w:pPr>
                      <w:spacing w:before="72"/>
                      <w:ind w:left="501" w:right="0" w:firstLine="0"/>
                      <w:jc w:val="left"/>
                      <w:rPr>
                        <w:rFonts w:ascii="宋体" w:eastAsia="宋体" w:hint="eastAsia"/>
                        <w:sz w:val="24"/>
                      </w:rPr>
                    </w:pPr>
                    <w:r>
                      <w:rPr>
                        <w:rFonts w:ascii="宋体" w:eastAsia="宋体" w:hint="eastAsia"/>
                        <w:sz w:val="24"/>
                      </w:rPr>
                      <w:t>现场抢救</w:t>
                    </w:r>
                  </w:p>
                </w:txbxContent>
              </v:textbox>
              <v:stroke dashstyle="solid"/>
              <w10:wrap type="none"/>
            </v:shape>
            <v:shape style="position:absolute;left:6487;top:1932;width:1982;height:468" type="#_x0000_t202" filled="false" stroked="true" strokeweight=".72pt" strokecolor="#000000">
              <v:textbox inset="0,0,0,0">
                <w:txbxContent>
                  <w:p>
                    <w:pPr>
                      <w:spacing w:before="72"/>
                      <w:ind w:left="261" w:right="0" w:firstLine="0"/>
                      <w:jc w:val="left"/>
                      <w:rPr>
                        <w:rFonts w:ascii="宋体" w:eastAsia="宋体" w:hint="eastAsia"/>
                        <w:sz w:val="24"/>
                      </w:rPr>
                    </w:pPr>
                    <w:r>
                      <w:rPr>
                        <w:rFonts w:ascii="宋体" w:eastAsia="宋体" w:hint="eastAsia"/>
                        <w:sz w:val="24"/>
                      </w:rPr>
                      <w:t>有关人员赶赴</w:t>
                    </w:r>
                  </w:p>
                </w:txbxContent>
              </v:textbox>
              <v:stroke dashstyle="solid"/>
              <w10:wrap type="none"/>
            </v:shape>
            <v:shape style="position:absolute;left:6667;top:1152;width:1440;height:468" type="#_x0000_t202" filled="false" stroked="true" strokeweight=".72pt" strokecolor="#000000">
              <v:textbox inset="0,0,0,0">
                <w:txbxContent>
                  <w:p>
                    <w:pPr>
                      <w:spacing w:before="72"/>
                      <w:ind w:left="233" w:right="0" w:firstLine="0"/>
                      <w:jc w:val="left"/>
                      <w:rPr>
                        <w:rFonts w:ascii="宋体" w:eastAsia="宋体" w:hint="eastAsia"/>
                        <w:sz w:val="24"/>
                      </w:rPr>
                    </w:pPr>
                    <w:r>
                      <w:rPr>
                        <w:rFonts w:ascii="宋体" w:eastAsia="宋体" w:hint="eastAsia"/>
                        <w:sz w:val="24"/>
                      </w:rPr>
                      <w:t>信息反馈</w:t>
                    </w:r>
                  </w:p>
                </w:txbxContent>
              </v:textbox>
              <v:stroke dashstyle="solid"/>
              <w10:wrap type="none"/>
            </v:shape>
            <v:shape style="position:absolute;left:3067;top:2712;width:1800;height:468" type="#_x0000_t202" filled="false" stroked="true" strokeweight=".72pt" strokecolor="#000000">
              <v:textbox inset="0,0,0,0">
                <w:txbxContent>
                  <w:p>
                    <w:pPr>
                      <w:spacing w:before="72"/>
                      <w:ind w:left="412" w:right="0" w:firstLine="0"/>
                      <w:jc w:val="left"/>
                      <w:rPr>
                        <w:rFonts w:ascii="宋体" w:eastAsia="宋体" w:hint="eastAsia"/>
                        <w:sz w:val="24"/>
                      </w:rPr>
                    </w:pPr>
                    <w:r>
                      <w:rPr>
                        <w:rFonts w:ascii="宋体" w:eastAsia="宋体" w:hint="eastAsia"/>
                        <w:sz w:val="24"/>
                      </w:rPr>
                      <w:t>启动预案</w:t>
                    </w:r>
                  </w:p>
                </w:txbxContent>
              </v:textbox>
              <v:stroke dashstyle="solid"/>
              <w10:wrap type="none"/>
            </v:shape>
            <v:shape style="position:absolute;left:7;top:2556;width:1620;height:780" type="#_x0000_t202" filled="false" stroked="true" strokeweight=".72pt" strokecolor="#000000">
              <v:textbox inset="0,0,0,0">
                <w:txbxContent>
                  <w:p>
                    <w:pPr>
                      <w:spacing w:line="242" w:lineRule="auto" w:before="72"/>
                      <w:ind w:left="201" w:right="203" w:firstLine="120"/>
                      <w:jc w:val="left"/>
                      <w:rPr>
                        <w:rFonts w:ascii="宋体" w:eastAsia="宋体" w:hint="eastAsia"/>
                        <w:sz w:val="24"/>
                      </w:rPr>
                    </w:pPr>
                    <w:r>
                      <w:rPr>
                        <w:rFonts w:ascii="宋体" w:eastAsia="宋体" w:hint="eastAsia"/>
                        <w:sz w:val="24"/>
                      </w:rPr>
                      <w:t>信息收集联络、上报</w:t>
                    </w:r>
                  </w:p>
                </w:txbxContent>
              </v:textbox>
              <v:stroke dashstyle="solid"/>
              <w10:wrap type="none"/>
            </v:shape>
            <v:shape style="position:absolute;left:7;top:1776;width:1620;height:624" type="#_x0000_t202" filled="false" stroked="true" strokeweight=".72pt" strokecolor="#000000">
              <v:textbox inset="0,0,0,0">
                <w:txbxContent>
                  <w:p>
                    <w:pPr>
                      <w:spacing w:before="72"/>
                      <w:ind w:left="81" w:right="0" w:firstLine="0"/>
                      <w:jc w:val="left"/>
                      <w:rPr>
                        <w:rFonts w:ascii="宋体" w:eastAsia="宋体" w:hint="eastAsia"/>
                        <w:sz w:val="24"/>
                      </w:rPr>
                    </w:pPr>
                    <w:r>
                      <w:rPr>
                        <w:rFonts w:ascii="宋体" w:eastAsia="宋体" w:hint="eastAsia"/>
                        <w:sz w:val="24"/>
                      </w:rPr>
                      <w:t>应急资源到位</w:t>
                    </w:r>
                  </w:p>
                </w:txbxContent>
              </v:textbox>
              <v:stroke dashstyle="solid"/>
              <w10:wrap type="none"/>
            </v:shape>
            <v:shape style="position:absolute;left:7;top:991;width:1620;height:624" type="#_x0000_t202" filled="false" stroked="true" strokeweight=".72pt" strokecolor="#000000">
              <v:textbox inset="0,0,0,0">
                <w:txbxContent>
                  <w:p>
                    <w:pPr>
                      <w:spacing w:before="74"/>
                      <w:ind w:left="81" w:right="0" w:firstLine="0"/>
                      <w:jc w:val="left"/>
                      <w:rPr>
                        <w:rFonts w:ascii="宋体" w:eastAsia="宋体" w:hint="eastAsia"/>
                        <w:sz w:val="24"/>
                      </w:rPr>
                    </w:pPr>
                    <w:r>
                      <w:rPr>
                        <w:rFonts w:ascii="宋体" w:eastAsia="宋体" w:hint="eastAsia"/>
                        <w:sz w:val="24"/>
                      </w:rPr>
                      <w:t>指挥人员到位</w:t>
                    </w:r>
                  </w:p>
                </w:txbxContent>
              </v:textbox>
              <v:stroke dashstyle="solid"/>
              <w10:wrap type="none"/>
            </v:shape>
            <v:shape style="position:absolute;left:7;top:134;width:1620;height:624" type="#_x0000_t202" filled="false" stroked="true" strokeweight=".72pt" strokecolor="#000000">
              <v:textbox inset="0,0,0,0">
                <w:txbxContent>
                  <w:p>
                    <w:pPr>
                      <w:spacing w:before="72"/>
                      <w:ind w:left="542" w:right="542" w:firstLine="0"/>
                      <w:jc w:val="center"/>
                      <w:rPr>
                        <w:rFonts w:ascii="宋体" w:eastAsia="宋体" w:hint="eastAsia"/>
                        <w:sz w:val="24"/>
                      </w:rPr>
                    </w:pPr>
                    <w:r>
                      <w:rPr>
                        <w:rFonts w:ascii="宋体" w:eastAsia="宋体" w:hint="eastAsia"/>
                        <w:sz w:val="24"/>
                      </w:rPr>
                      <w:t>报警</w:t>
                    </w:r>
                  </w:p>
                </w:txbxContent>
              </v:textbox>
              <v:stroke dashstyle="solid"/>
              <w10:wrap type="none"/>
            </v:shape>
            <v:shape style="position:absolute;left:5947;top:7646;width:1620;height:624"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总结评审</w:t>
                    </w:r>
                  </w:p>
                </w:txbxContent>
              </v:textbox>
              <v:stroke dashstyle="solid"/>
              <w10:wrap type="none"/>
            </v:shape>
            <v:shape style="position:absolute;left:3247;top:7704;width:1620;height:624" type="#_x0000_t202" filled="false" stroked="true" strokeweight=".72pt" strokecolor="#000000">
              <v:textbox inset="0,0,0,0">
                <w:txbxContent>
                  <w:p>
                    <w:pPr>
                      <w:spacing w:before="72"/>
                      <w:ind w:left="321" w:right="0" w:firstLine="0"/>
                      <w:jc w:val="left"/>
                      <w:rPr>
                        <w:rFonts w:ascii="宋体" w:eastAsia="宋体" w:hint="eastAsia"/>
                        <w:sz w:val="24"/>
                      </w:rPr>
                    </w:pPr>
                    <w:r>
                      <w:rPr>
                        <w:rFonts w:ascii="宋体" w:eastAsia="宋体" w:hint="eastAsia"/>
                        <w:sz w:val="24"/>
                      </w:rPr>
                      <w:t>应急结束</w:t>
                    </w:r>
                  </w:p>
                </w:txbxContent>
              </v:textbox>
              <v:stroke dashstyle="solid"/>
              <w10:wrap type="none"/>
            </v:shape>
            <v:shape style="position:absolute;left:6487;top:5052;width:1985;height:624" type="#_x0000_t202" filled="false" stroked="true" strokeweight=".72pt" strokecolor="#000000">
              <v:textbox inset="0,0,0,0">
                <w:txbxContent>
                  <w:p>
                    <w:pPr>
                      <w:spacing w:before="72"/>
                      <w:ind w:left="504" w:right="0" w:firstLine="0"/>
                      <w:jc w:val="left"/>
                      <w:rPr>
                        <w:rFonts w:ascii="宋体" w:eastAsia="宋体" w:hint="eastAsia"/>
                        <w:sz w:val="24"/>
                      </w:rPr>
                    </w:pPr>
                    <w:r>
                      <w:rPr>
                        <w:rFonts w:ascii="宋体" w:eastAsia="宋体" w:hint="eastAsia"/>
                        <w:sz w:val="24"/>
                      </w:rPr>
                      <w:t>信息传递</w:t>
                    </w:r>
                  </w:p>
                </w:txbxContent>
              </v:textbox>
              <v:stroke dashstyle="solid"/>
              <w10:wrap type="none"/>
            </v:shape>
          </v:group>
        </w:pict>
      </w:r>
      <w:r>
        <w:rPr>
          <w:sz w:val="20"/>
        </w:rPr>
      </w:r>
    </w:p>
    <w:p>
      <w:pPr>
        <w:pStyle w:val="BodyText"/>
        <w:rPr>
          <w:sz w:val="20"/>
        </w:rPr>
      </w:pPr>
    </w:p>
    <w:p>
      <w:pPr>
        <w:pStyle w:val="BodyText"/>
        <w:spacing w:before="4"/>
        <w:rPr>
          <w:sz w:val="16"/>
        </w:rPr>
      </w:pPr>
    </w:p>
    <w:p>
      <w:pPr>
        <w:spacing w:before="62"/>
        <w:ind w:left="3835" w:right="0" w:firstLine="0"/>
        <w:jc w:val="left"/>
        <w:rPr>
          <w:b/>
          <w:sz w:val="28"/>
        </w:rPr>
      </w:pPr>
      <w:r>
        <w:rPr/>
        <w:pict>
          <v:shape style="position:absolute;margin-left:305.040009pt;margin-top:-87.663956pt;width:6pt;height:31.6pt;mso-position-horizontal-relative:page;mso-position-vertical-relative:paragraph;z-index:-260782080" coordorigin="6101,-1753" coordsize="120,632" path="m6154,-1242l6101,-1242,6161,-1122,6208,-1216,6161,-1216,6156,-1218,6154,-1223,6154,-1242xm6161,-1753l6156,-1751,6154,-1746,6154,-1223,6156,-1218,6161,-1216,6166,-1218,6168,-1223,6168,-1746,6166,-1751,6161,-1753xm6221,-1242l6168,-1242,6168,-1223,6166,-1218,6161,-1216,6208,-1216,6221,-1242xe" filled="true" fillcolor="#000000" stroked="false">
            <v:path arrowok="t"/>
            <v:fill type="solid"/>
            <w10:wrap type="none"/>
          </v:shape>
        </w:pict>
      </w:r>
      <w:r>
        <w:rPr/>
        <w:pict>
          <v:shape style="position:absolute;margin-left:352.679993pt;margin-top:-43.503956pt;width:54.4pt;height:6pt;mso-position-horizontal-relative:page;mso-position-vertical-relative:paragraph;z-index:-260781056" coordorigin="7054,-870" coordsize="1088,120" path="m8021,-870l8021,-750,8126,-803,8040,-803,8047,-805,8050,-810,8047,-815,8040,-817,8126,-817,8021,-870xm8021,-817l7061,-817,7056,-815,7054,-810,7056,-805,7061,-803,8021,-803,8021,-817xm8126,-817l8040,-817,8047,-815,8050,-810,8047,-805,8040,-803,8126,-803,8141,-810,8126,-817xe" filled="true" fillcolor="#000000" stroked="false">
            <v:path arrowok="t"/>
            <v:fill type="solid"/>
            <w10:wrap type="none"/>
          </v:shape>
        </w:pict>
      </w:r>
      <w:r>
        <w:rPr>
          <w:b/>
          <w:sz w:val="28"/>
        </w:rPr>
        <w:t>图 8-3-1 应急响应程序图</w:t>
      </w:r>
    </w:p>
    <w:p>
      <w:pPr>
        <w:pStyle w:val="ListParagraph"/>
        <w:numPr>
          <w:ilvl w:val="2"/>
          <w:numId w:val="9"/>
        </w:numPr>
        <w:tabs>
          <w:tab w:pos="1798" w:val="left" w:leader="none"/>
        </w:tabs>
        <w:spacing w:line="240" w:lineRule="auto" w:before="66" w:after="0"/>
        <w:ind w:left="1797" w:right="0" w:hanging="776"/>
        <w:jc w:val="left"/>
        <w:rPr>
          <w:b/>
          <w:sz w:val="28"/>
        </w:rPr>
      </w:pPr>
      <w:r>
        <w:rPr>
          <w:b/>
          <w:sz w:val="28"/>
        </w:rPr>
        <w:t>事故终止程序</w:t>
      </w:r>
    </w:p>
    <w:p>
      <w:pPr>
        <w:pStyle w:val="BodyText"/>
        <w:spacing w:before="9"/>
        <w:rPr>
          <w:b/>
          <w:sz w:val="9"/>
        </w:rPr>
      </w:pPr>
    </w:p>
    <w:p>
      <w:pPr>
        <w:pStyle w:val="ListParagraph"/>
        <w:numPr>
          <w:ilvl w:val="0"/>
          <w:numId w:val="35"/>
        </w:numPr>
        <w:tabs>
          <w:tab w:pos="1722" w:val="left" w:leader="none"/>
        </w:tabs>
        <w:spacing w:line="364" w:lineRule="auto" w:before="62" w:after="0"/>
        <w:ind w:left="741" w:right="716" w:firstLine="559"/>
        <w:jc w:val="left"/>
        <w:rPr>
          <w:sz w:val="28"/>
        </w:rPr>
      </w:pPr>
      <w:r>
        <w:rPr>
          <w:spacing w:val="-5"/>
          <w:sz w:val="28"/>
        </w:rPr>
        <w:t>现场救援指挥部确认终止时机，或事故责任单位提出，经现场</w:t>
      </w:r>
      <w:r>
        <w:rPr>
          <w:spacing w:val="-4"/>
          <w:sz w:val="28"/>
        </w:rPr>
        <w:t>救援指挥部批准；</w:t>
      </w:r>
    </w:p>
    <w:p>
      <w:pPr>
        <w:pStyle w:val="ListParagraph"/>
        <w:numPr>
          <w:ilvl w:val="0"/>
          <w:numId w:val="35"/>
        </w:numPr>
        <w:tabs>
          <w:tab w:pos="1722" w:val="left" w:leader="none"/>
        </w:tabs>
        <w:spacing w:line="358" w:lineRule="exact" w:before="0" w:after="0"/>
        <w:ind w:left="1721" w:right="0" w:hanging="422"/>
        <w:jc w:val="left"/>
        <w:rPr>
          <w:sz w:val="28"/>
        </w:rPr>
      </w:pPr>
      <w:r>
        <w:rPr>
          <w:spacing w:val="-3"/>
          <w:sz w:val="28"/>
        </w:rPr>
        <w:t>现场救援指挥部向各专业应急救援队伍下达应急终止命令；</w:t>
      </w:r>
    </w:p>
    <w:p>
      <w:pPr>
        <w:pStyle w:val="ListParagraph"/>
        <w:numPr>
          <w:ilvl w:val="0"/>
          <w:numId w:val="35"/>
        </w:numPr>
        <w:tabs>
          <w:tab w:pos="1722" w:val="left" w:leader="none"/>
        </w:tabs>
        <w:spacing w:line="240" w:lineRule="auto" w:before="186" w:after="0"/>
        <w:ind w:left="1721" w:right="0" w:hanging="422"/>
        <w:jc w:val="left"/>
        <w:rPr>
          <w:sz w:val="28"/>
        </w:rPr>
      </w:pPr>
      <w:r>
        <w:rPr>
          <w:spacing w:val="-5"/>
          <w:sz w:val="28"/>
        </w:rPr>
        <w:t>应急状态终止后，继续进行现场监测，直到其它补救措施无需</w:t>
      </w:r>
    </w:p>
    <w:p>
      <w:pPr>
        <w:spacing w:after="0" w:line="240" w:lineRule="auto"/>
        <w:jc w:val="left"/>
        <w:rPr>
          <w:sz w:val="28"/>
        </w:rPr>
        <w:sectPr>
          <w:pgSz w:w="11910" w:h="16840"/>
          <w:pgMar w:header="0" w:footer="984" w:top="1580" w:bottom="1180" w:left="960" w:right="980"/>
        </w:sectPr>
      </w:pPr>
    </w:p>
    <w:p>
      <w:pPr>
        <w:pStyle w:val="BodyText"/>
        <w:spacing w:before="102"/>
        <w:ind w:left="741"/>
      </w:pPr>
      <w:r>
        <w:rPr/>
        <w:t>继续进行为止。</w:t>
      </w:r>
    </w:p>
    <w:p>
      <w:pPr>
        <w:pStyle w:val="ListParagraph"/>
        <w:numPr>
          <w:ilvl w:val="2"/>
          <w:numId w:val="9"/>
        </w:numPr>
        <w:tabs>
          <w:tab w:pos="1798" w:val="left" w:leader="none"/>
        </w:tabs>
        <w:spacing w:line="240" w:lineRule="auto" w:before="186" w:after="0"/>
        <w:ind w:left="1797" w:right="0" w:hanging="776"/>
        <w:jc w:val="left"/>
        <w:rPr>
          <w:b/>
          <w:sz w:val="28"/>
        </w:rPr>
      </w:pPr>
      <w:r>
        <w:rPr>
          <w:b/>
          <w:sz w:val="28"/>
        </w:rPr>
        <w:t>应急结束后续工作</w:t>
      </w:r>
    </w:p>
    <w:p>
      <w:pPr>
        <w:pStyle w:val="ListParagraph"/>
        <w:numPr>
          <w:ilvl w:val="0"/>
          <w:numId w:val="36"/>
        </w:numPr>
        <w:tabs>
          <w:tab w:pos="1725" w:val="left" w:leader="none"/>
        </w:tabs>
        <w:spacing w:line="364" w:lineRule="auto" w:before="186" w:after="0"/>
        <w:ind w:left="741" w:right="718" w:firstLine="559"/>
        <w:jc w:val="left"/>
        <w:rPr>
          <w:sz w:val="28"/>
        </w:rPr>
      </w:pPr>
      <w:r>
        <w:rPr>
          <w:spacing w:val="-4"/>
          <w:sz w:val="28"/>
        </w:rPr>
        <w:t>将事故情况按规定如实上报潍坊市环保局滨海区分局、市环 </w:t>
      </w:r>
      <w:r>
        <w:rPr>
          <w:spacing w:val="-3"/>
          <w:sz w:val="28"/>
        </w:rPr>
        <w:t>保局、安监局及其他相关部门。</w:t>
      </w:r>
    </w:p>
    <w:p>
      <w:pPr>
        <w:pStyle w:val="ListParagraph"/>
        <w:numPr>
          <w:ilvl w:val="0"/>
          <w:numId w:val="36"/>
        </w:numPr>
        <w:tabs>
          <w:tab w:pos="1722" w:val="left" w:leader="none"/>
        </w:tabs>
        <w:spacing w:line="364" w:lineRule="auto" w:before="0" w:after="0"/>
        <w:ind w:left="741" w:right="716" w:firstLine="559"/>
        <w:jc w:val="both"/>
        <w:rPr>
          <w:sz w:val="28"/>
        </w:rPr>
      </w:pPr>
      <w:r>
        <w:rPr>
          <w:spacing w:val="-6"/>
          <w:sz w:val="28"/>
        </w:rPr>
        <w:t>查明突发环境污染事件发生原因、过程和人员伤亡、经济损失</w:t>
      </w:r>
      <w:r>
        <w:rPr>
          <w:sz w:val="28"/>
        </w:rPr>
        <w:t>情况；确定事故责任者；提出事故处理意见和防范措施的建议；写出</w:t>
      </w:r>
      <w:r>
        <w:rPr>
          <w:spacing w:val="-3"/>
          <w:sz w:val="28"/>
        </w:rPr>
        <w:t>突发环境污染事件调查报告。</w:t>
      </w:r>
    </w:p>
    <w:p>
      <w:pPr>
        <w:pStyle w:val="ListParagraph"/>
        <w:numPr>
          <w:ilvl w:val="0"/>
          <w:numId w:val="36"/>
        </w:numPr>
        <w:tabs>
          <w:tab w:pos="1722" w:val="left" w:leader="none"/>
        </w:tabs>
        <w:spacing w:line="355" w:lineRule="exact" w:before="0" w:after="0"/>
        <w:ind w:left="1721" w:right="0" w:hanging="422"/>
        <w:jc w:val="left"/>
        <w:rPr>
          <w:sz w:val="28"/>
        </w:rPr>
      </w:pPr>
      <w:r>
        <w:rPr>
          <w:spacing w:val="-3"/>
          <w:sz w:val="28"/>
        </w:rPr>
        <w:t>协助上级人民政府及相关部门做好善后处置工作。</w:t>
      </w:r>
    </w:p>
    <w:p>
      <w:pPr>
        <w:pStyle w:val="ListParagraph"/>
        <w:numPr>
          <w:ilvl w:val="0"/>
          <w:numId w:val="36"/>
        </w:numPr>
        <w:tabs>
          <w:tab w:pos="1701" w:val="left" w:leader="none"/>
        </w:tabs>
        <w:spacing w:line="364" w:lineRule="auto" w:before="185" w:after="0"/>
        <w:ind w:left="741" w:right="576" w:firstLine="537"/>
        <w:jc w:val="left"/>
        <w:rPr>
          <w:sz w:val="28"/>
        </w:rPr>
      </w:pPr>
      <w:r>
        <w:rPr>
          <w:spacing w:val="-8"/>
          <w:sz w:val="28"/>
        </w:rPr>
        <w:t>各部门对现场进行全面检查并修复，在确认各方面条件具备后</w:t>
      </w:r>
      <w:r>
        <w:rPr>
          <w:spacing w:val="-3"/>
          <w:sz w:val="28"/>
        </w:rPr>
        <w:t>，制定生产恢复计划和方案，尽快恢复生产。</w:t>
      </w:r>
    </w:p>
    <w:p>
      <w:pPr>
        <w:pStyle w:val="ListParagraph"/>
        <w:numPr>
          <w:ilvl w:val="0"/>
          <w:numId w:val="36"/>
        </w:numPr>
        <w:tabs>
          <w:tab w:pos="1701" w:val="left" w:leader="none"/>
        </w:tabs>
        <w:spacing w:line="364" w:lineRule="auto" w:before="0" w:after="0"/>
        <w:ind w:left="741" w:right="716" w:firstLine="537"/>
        <w:jc w:val="left"/>
        <w:rPr>
          <w:sz w:val="28"/>
        </w:rPr>
      </w:pPr>
      <w:r>
        <w:rPr>
          <w:spacing w:val="-4"/>
          <w:sz w:val="28"/>
        </w:rPr>
        <w:t>组织专家对应急救援过程和应急救援保障等工作进行总结和评</w:t>
      </w:r>
      <w:r>
        <w:rPr>
          <w:spacing w:val="-3"/>
          <w:sz w:val="28"/>
        </w:rPr>
        <w:t>估，提出改进意见和建议。</w:t>
      </w:r>
    </w:p>
    <w:p>
      <w:pPr>
        <w:pStyle w:val="Heading1"/>
        <w:numPr>
          <w:ilvl w:val="0"/>
          <w:numId w:val="9"/>
        </w:numPr>
        <w:tabs>
          <w:tab w:pos="984" w:val="left" w:leader="none"/>
        </w:tabs>
        <w:spacing w:line="240" w:lineRule="auto" w:before="1" w:after="0"/>
        <w:ind w:left="983" w:right="0" w:hanging="243"/>
        <w:jc w:val="left"/>
      </w:pPr>
      <w:bookmarkStart w:name="_TOC_250020" w:id="48"/>
      <w:bookmarkEnd w:id="48"/>
      <w:r>
        <w:rPr/>
        <w:t>应急处置</w:t>
      </w:r>
    </w:p>
    <w:p>
      <w:pPr>
        <w:pStyle w:val="ListParagraph"/>
        <w:numPr>
          <w:ilvl w:val="1"/>
          <w:numId w:val="9"/>
        </w:numPr>
        <w:tabs>
          <w:tab w:pos="1237" w:val="left" w:leader="none"/>
        </w:tabs>
        <w:spacing w:line="240" w:lineRule="auto" w:before="211" w:after="0"/>
        <w:ind w:left="1236" w:right="0" w:hanging="496"/>
        <w:jc w:val="both"/>
        <w:rPr>
          <w:b/>
          <w:sz w:val="28"/>
        </w:rPr>
      </w:pPr>
      <w:bookmarkStart w:name="_TOC_250019" w:id="49"/>
      <w:bookmarkEnd w:id="49"/>
      <w:r>
        <w:rPr>
          <w:b/>
          <w:sz w:val="28"/>
        </w:rPr>
        <w:t>应急处置基本原则</w:t>
      </w:r>
    </w:p>
    <w:p>
      <w:pPr>
        <w:pStyle w:val="BodyText"/>
        <w:spacing w:line="362" w:lineRule="auto" w:before="186"/>
        <w:ind w:left="741" w:right="716" w:firstLine="559"/>
        <w:jc w:val="both"/>
      </w:pPr>
      <w:r>
        <w:rPr/>
        <w:t>按照国家、行业标准、规范制定的突发事件应急行动方案，在实施过程中，坚持“以人为本”的指导思想，统一领导、统一指挥、各</w:t>
      </w:r>
      <w:r>
        <w:rPr>
          <w:spacing w:val="-3"/>
        </w:rPr>
        <w:t>司其职、整体作战、发挥优势、保障安全。</w:t>
      </w:r>
    </w:p>
    <w:p>
      <w:pPr>
        <w:pStyle w:val="ListParagraph"/>
        <w:numPr>
          <w:ilvl w:val="1"/>
          <w:numId w:val="9"/>
        </w:numPr>
        <w:tabs>
          <w:tab w:pos="1237" w:val="left" w:leader="none"/>
        </w:tabs>
        <w:spacing w:line="240" w:lineRule="auto" w:before="7" w:after="0"/>
        <w:ind w:left="1236" w:right="0" w:hanging="496"/>
        <w:jc w:val="both"/>
        <w:rPr>
          <w:b/>
          <w:sz w:val="28"/>
        </w:rPr>
      </w:pPr>
      <w:bookmarkStart w:name="_TOC_250018" w:id="50"/>
      <w:bookmarkEnd w:id="50"/>
      <w:r>
        <w:rPr>
          <w:b/>
          <w:w w:val="95"/>
          <w:sz w:val="28"/>
        </w:rPr>
        <w:t>突发环境事件现场应急处置措施</w:t>
      </w:r>
    </w:p>
    <w:p>
      <w:pPr>
        <w:pStyle w:val="BodyText"/>
        <w:spacing w:line="364" w:lineRule="auto" w:before="186"/>
        <w:ind w:left="741" w:right="735" w:firstLine="600"/>
        <w:jc w:val="both"/>
      </w:pPr>
      <w:r>
        <w:rPr/>
        <w:t>根据我公司的风险物质的风险特性及风险单元的特点，各种可能发生的事故应急处置措施见表 9-2-1。</w:t>
      </w:r>
    </w:p>
    <w:p>
      <w:pPr>
        <w:spacing w:after="0" w:line="364" w:lineRule="auto"/>
        <w:jc w:val="both"/>
        <w:sectPr>
          <w:pgSz w:w="11910" w:h="16840"/>
          <w:pgMar w:header="0" w:footer="984" w:top="1580" w:bottom="1180" w:left="960" w:right="980"/>
        </w:sectPr>
      </w:pPr>
    </w:p>
    <w:p>
      <w:pPr>
        <w:pStyle w:val="BodyText"/>
        <w:rPr>
          <w:sz w:val="20"/>
        </w:rPr>
      </w:pPr>
    </w:p>
    <w:p>
      <w:pPr>
        <w:pStyle w:val="BodyText"/>
        <w:spacing w:before="7"/>
        <w:rPr>
          <w:sz w:val="21"/>
        </w:rPr>
      </w:pPr>
    </w:p>
    <w:p>
      <w:pPr>
        <w:spacing w:before="62"/>
        <w:ind w:left="5305" w:right="4833" w:firstLine="0"/>
        <w:jc w:val="center"/>
        <w:rPr>
          <w:b/>
          <w:sz w:val="28"/>
        </w:rPr>
      </w:pPr>
      <w:r>
        <w:rPr>
          <w:b/>
          <w:sz w:val="28"/>
        </w:rPr>
        <w:t>表 9-2-1 事故应急处置措施一览表</w:t>
      </w:r>
    </w:p>
    <w:p>
      <w:pPr>
        <w:pStyle w:val="BodyText"/>
        <w:spacing w:before="2"/>
        <w:rPr>
          <w:b/>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2280"/>
        <w:gridCol w:w="1327"/>
        <w:gridCol w:w="9029"/>
      </w:tblGrid>
      <w:tr>
        <w:trPr>
          <w:trHeight w:val="369" w:hRule="atLeast"/>
        </w:trPr>
        <w:tc>
          <w:tcPr>
            <w:tcW w:w="1680" w:type="dxa"/>
          </w:tcPr>
          <w:p>
            <w:pPr>
              <w:pStyle w:val="TableParagraph"/>
              <w:spacing w:before="26"/>
              <w:ind w:left="83" w:right="90"/>
              <w:rPr>
                <w:sz w:val="24"/>
              </w:rPr>
            </w:pPr>
            <w:r>
              <w:rPr>
                <w:sz w:val="24"/>
              </w:rPr>
              <w:t>位置</w:t>
            </w:r>
          </w:p>
        </w:tc>
        <w:tc>
          <w:tcPr>
            <w:tcW w:w="2280" w:type="dxa"/>
          </w:tcPr>
          <w:p>
            <w:pPr>
              <w:pStyle w:val="TableParagraph"/>
              <w:spacing w:before="26"/>
              <w:ind w:left="623" w:right="630"/>
              <w:rPr>
                <w:sz w:val="24"/>
              </w:rPr>
            </w:pPr>
            <w:r>
              <w:rPr>
                <w:sz w:val="24"/>
              </w:rPr>
              <w:t>风险单元</w:t>
            </w:r>
          </w:p>
        </w:tc>
        <w:tc>
          <w:tcPr>
            <w:tcW w:w="1327" w:type="dxa"/>
          </w:tcPr>
          <w:p>
            <w:pPr>
              <w:pStyle w:val="TableParagraph"/>
              <w:spacing w:before="26"/>
              <w:ind w:left="146" w:right="155"/>
              <w:rPr>
                <w:sz w:val="24"/>
              </w:rPr>
            </w:pPr>
            <w:r>
              <w:rPr>
                <w:sz w:val="24"/>
              </w:rPr>
              <w:t>风险物质</w:t>
            </w:r>
          </w:p>
        </w:tc>
        <w:tc>
          <w:tcPr>
            <w:tcW w:w="9029" w:type="dxa"/>
          </w:tcPr>
          <w:p>
            <w:pPr>
              <w:pStyle w:val="TableParagraph"/>
              <w:spacing w:before="26"/>
              <w:ind w:left="86" w:right="91"/>
              <w:rPr>
                <w:sz w:val="24"/>
              </w:rPr>
            </w:pPr>
            <w:r>
              <w:rPr>
                <w:sz w:val="24"/>
              </w:rPr>
              <w:t>应急处置措施</w:t>
            </w:r>
          </w:p>
        </w:tc>
      </w:tr>
      <w:tr>
        <w:trPr>
          <w:trHeight w:val="2488" w:hRule="atLeast"/>
        </w:trPr>
        <w:tc>
          <w:tcPr>
            <w:tcW w:w="1680" w:type="dxa"/>
          </w:tcPr>
          <w:p>
            <w:pPr>
              <w:pStyle w:val="TableParagraph"/>
              <w:jc w:val="left"/>
              <w:rPr>
                <w:b/>
                <w:sz w:val="24"/>
              </w:rPr>
            </w:pPr>
          </w:p>
          <w:p>
            <w:pPr>
              <w:pStyle w:val="TableParagraph"/>
              <w:jc w:val="left"/>
              <w:rPr>
                <w:b/>
                <w:sz w:val="24"/>
              </w:rPr>
            </w:pPr>
          </w:p>
          <w:p>
            <w:pPr>
              <w:pStyle w:val="TableParagraph"/>
              <w:spacing w:before="10"/>
              <w:jc w:val="left"/>
              <w:rPr>
                <w:b/>
                <w:sz w:val="24"/>
              </w:rPr>
            </w:pPr>
          </w:p>
          <w:p>
            <w:pPr>
              <w:pStyle w:val="TableParagraph"/>
              <w:spacing w:line="242" w:lineRule="auto" w:before="1"/>
              <w:ind w:left="710" w:right="199" w:hanging="521"/>
              <w:jc w:val="left"/>
              <w:rPr>
                <w:sz w:val="24"/>
              </w:rPr>
            </w:pPr>
            <w:r>
              <w:rPr>
                <w:sz w:val="24"/>
              </w:rPr>
              <w:t>液氨储存罐区</w:t>
            </w:r>
          </w:p>
        </w:tc>
        <w:tc>
          <w:tcPr>
            <w:tcW w:w="2280" w:type="dxa"/>
          </w:tcPr>
          <w:p>
            <w:pPr>
              <w:pStyle w:val="TableParagraph"/>
              <w:jc w:val="left"/>
              <w:rPr>
                <w:b/>
                <w:sz w:val="24"/>
              </w:rPr>
            </w:pPr>
          </w:p>
          <w:p>
            <w:pPr>
              <w:pStyle w:val="TableParagraph"/>
              <w:jc w:val="left"/>
              <w:rPr>
                <w:b/>
                <w:sz w:val="24"/>
              </w:rPr>
            </w:pPr>
          </w:p>
          <w:p>
            <w:pPr>
              <w:pStyle w:val="TableParagraph"/>
              <w:jc w:val="left"/>
              <w:rPr>
                <w:b/>
                <w:sz w:val="24"/>
              </w:rPr>
            </w:pPr>
          </w:p>
          <w:p>
            <w:pPr>
              <w:pStyle w:val="TableParagraph"/>
              <w:spacing w:before="167"/>
              <w:ind w:left="623" w:right="630"/>
              <w:rPr>
                <w:sz w:val="24"/>
              </w:rPr>
            </w:pPr>
            <w:r>
              <w:rPr>
                <w:sz w:val="24"/>
              </w:rPr>
              <w:t>液氨罐</w:t>
            </w:r>
          </w:p>
        </w:tc>
        <w:tc>
          <w:tcPr>
            <w:tcW w:w="1327" w:type="dxa"/>
          </w:tcPr>
          <w:p>
            <w:pPr>
              <w:pStyle w:val="TableParagraph"/>
              <w:jc w:val="left"/>
              <w:rPr>
                <w:b/>
                <w:sz w:val="24"/>
              </w:rPr>
            </w:pPr>
          </w:p>
          <w:p>
            <w:pPr>
              <w:pStyle w:val="TableParagraph"/>
              <w:jc w:val="left"/>
              <w:rPr>
                <w:b/>
                <w:sz w:val="24"/>
              </w:rPr>
            </w:pPr>
          </w:p>
          <w:p>
            <w:pPr>
              <w:pStyle w:val="TableParagraph"/>
              <w:jc w:val="left"/>
              <w:rPr>
                <w:b/>
                <w:sz w:val="24"/>
              </w:rPr>
            </w:pPr>
          </w:p>
          <w:p>
            <w:pPr>
              <w:pStyle w:val="TableParagraph"/>
              <w:spacing w:before="167"/>
              <w:ind w:left="146" w:right="155"/>
              <w:rPr>
                <w:sz w:val="24"/>
              </w:rPr>
            </w:pPr>
            <w:r>
              <w:rPr>
                <w:sz w:val="24"/>
              </w:rPr>
              <w:t>99%液氨</w:t>
            </w:r>
          </w:p>
        </w:tc>
        <w:tc>
          <w:tcPr>
            <w:tcW w:w="9029" w:type="dxa"/>
          </w:tcPr>
          <w:p>
            <w:pPr>
              <w:pStyle w:val="TableParagraph"/>
              <w:spacing w:line="242" w:lineRule="auto"/>
              <w:ind w:left="110" w:right="91"/>
              <w:rPr>
                <w:sz w:val="24"/>
              </w:rPr>
            </w:pPr>
            <w:r>
              <w:rPr>
                <w:spacing w:val="-5"/>
                <w:sz w:val="24"/>
              </w:rPr>
              <w:t>迅速撤离泄漏污染区人员至上风处，并立即进行隔离 </w:t>
            </w:r>
            <w:r>
              <w:rPr>
                <w:sz w:val="24"/>
              </w:rPr>
              <w:t>150</w:t>
            </w:r>
            <w:r>
              <w:rPr>
                <w:spacing w:val="-12"/>
                <w:sz w:val="24"/>
              </w:rPr>
              <w:t> 米，严格限制出入，切断火</w:t>
            </w:r>
            <w:r>
              <w:rPr>
                <w:spacing w:val="-8"/>
                <w:sz w:val="24"/>
              </w:rPr>
              <w:t>源。建议应急处理人员戴自给正压式呼吸器，穿防毒服。尽可能切断泄漏源。合理通</w:t>
            </w:r>
            <w:r>
              <w:rPr>
                <w:spacing w:val="-10"/>
                <w:sz w:val="24"/>
              </w:rPr>
              <w:t>风，加速扩散。高浓度泄漏区，喷含盐酸的雾状水中和、稀释、溶解。构筑围堤或挖</w:t>
            </w:r>
            <w:r>
              <w:rPr>
                <w:spacing w:val="-7"/>
                <w:sz w:val="24"/>
              </w:rPr>
              <w:t>坑收容产生的大量废水。如有可能，将残余气或漏出气用排风机送至水洗塔或与塔相连的通风橱内。储罐区最好设稀酸喷洒设施。漏气容器要妥善处理，修复、检验后再</w:t>
            </w:r>
            <w:r>
              <w:rPr>
                <w:sz w:val="24"/>
              </w:rPr>
              <w:t>用。</w:t>
            </w:r>
          </w:p>
          <w:p>
            <w:pPr>
              <w:pStyle w:val="TableParagraph"/>
              <w:spacing w:before="3"/>
              <w:ind w:left="81"/>
              <w:rPr>
                <w:sz w:val="24"/>
              </w:rPr>
            </w:pPr>
            <w:r>
              <w:rPr>
                <w:sz w:val="24"/>
              </w:rPr>
              <w:t>废弃物处置方法：建议废料液用水稀释，加盐酸中和后，排入下水道。造纸、纺织、</w:t>
            </w:r>
          </w:p>
          <w:p>
            <w:pPr>
              <w:pStyle w:val="TableParagraph"/>
              <w:spacing w:line="289" w:lineRule="exact" w:before="5"/>
              <w:ind w:left="105" w:right="91"/>
              <w:rPr>
                <w:sz w:val="24"/>
              </w:rPr>
            </w:pPr>
            <w:r>
              <w:rPr>
                <w:sz w:val="24"/>
              </w:rPr>
              <w:t>肥料工业中的含氨废料回收使用。</w:t>
            </w:r>
          </w:p>
        </w:tc>
      </w:tr>
      <w:tr>
        <w:trPr>
          <w:trHeight w:val="1869" w:hRule="atLeast"/>
        </w:trPr>
        <w:tc>
          <w:tcPr>
            <w:tcW w:w="1680" w:type="dxa"/>
          </w:tcPr>
          <w:p>
            <w:pPr>
              <w:pStyle w:val="TableParagraph"/>
              <w:jc w:val="left"/>
              <w:rPr>
                <w:b/>
                <w:sz w:val="24"/>
              </w:rPr>
            </w:pPr>
          </w:p>
          <w:p>
            <w:pPr>
              <w:pStyle w:val="TableParagraph"/>
              <w:jc w:val="left"/>
              <w:rPr>
                <w:b/>
                <w:sz w:val="24"/>
              </w:rPr>
            </w:pPr>
          </w:p>
          <w:p>
            <w:pPr>
              <w:pStyle w:val="TableParagraph"/>
              <w:spacing w:before="162"/>
              <w:ind w:left="99" w:right="90"/>
              <w:rPr>
                <w:sz w:val="24"/>
              </w:rPr>
            </w:pPr>
            <w:r>
              <w:rPr>
                <w:sz w:val="24"/>
              </w:rPr>
              <w:t>乙腈储存罐区</w:t>
            </w:r>
          </w:p>
        </w:tc>
        <w:tc>
          <w:tcPr>
            <w:tcW w:w="2280" w:type="dxa"/>
          </w:tcPr>
          <w:p>
            <w:pPr>
              <w:pStyle w:val="TableParagraph"/>
              <w:jc w:val="left"/>
              <w:rPr>
                <w:b/>
                <w:sz w:val="24"/>
              </w:rPr>
            </w:pPr>
          </w:p>
          <w:p>
            <w:pPr>
              <w:pStyle w:val="TableParagraph"/>
              <w:jc w:val="left"/>
              <w:rPr>
                <w:b/>
                <w:sz w:val="24"/>
              </w:rPr>
            </w:pPr>
          </w:p>
          <w:p>
            <w:pPr>
              <w:pStyle w:val="TableParagraph"/>
              <w:spacing w:before="162"/>
              <w:ind w:left="631" w:right="622"/>
              <w:rPr>
                <w:sz w:val="24"/>
              </w:rPr>
            </w:pPr>
            <w:r>
              <w:rPr>
                <w:sz w:val="24"/>
              </w:rPr>
              <w:t>乙腈罐</w:t>
            </w:r>
          </w:p>
        </w:tc>
        <w:tc>
          <w:tcPr>
            <w:tcW w:w="1327" w:type="dxa"/>
          </w:tcPr>
          <w:p>
            <w:pPr>
              <w:pStyle w:val="TableParagraph"/>
              <w:jc w:val="left"/>
              <w:rPr>
                <w:b/>
                <w:sz w:val="24"/>
              </w:rPr>
            </w:pPr>
          </w:p>
          <w:p>
            <w:pPr>
              <w:pStyle w:val="TableParagraph"/>
              <w:jc w:val="left"/>
              <w:rPr>
                <w:b/>
                <w:sz w:val="24"/>
              </w:rPr>
            </w:pPr>
          </w:p>
          <w:p>
            <w:pPr>
              <w:pStyle w:val="TableParagraph"/>
              <w:spacing w:before="162"/>
              <w:ind w:left="146" w:right="155"/>
              <w:rPr>
                <w:sz w:val="24"/>
              </w:rPr>
            </w:pPr>
            <w:r>
              <w:rPr>
                <w:sz w:val="24"/>
              </w:rPr>
              <w:t>乙腈</w:t>
            </w:r>
          </w:p>
        </w:tc>
        <w:tc>
          <w:tcPr>
            <w:tcW w:w="9029" w:type="dxa"/>
          </w:tcPr>
          <w:p>
            <w:pPr>
              <w:pStyle w:val="TableParagraph"/>
              <w:spacing w:line="242" w:lineRule="auto"/>
              <w:ind w:left="110" w:right="91"/>
              <w:jc w:val="both"/>
              <w:rPr>
                <w:sz w:val="24"/>
              </w:rPr>
            </w:pPr>
            <w:r>
              <w:rPr>
                <w:spacing w:val="-5"/>
                <w:sz w:val="24"/>
              </w:rPr>
              <w:t>根据液体流动和蒸气扩散的影响区域划定警戒区，无关人员从侧风、上风向撤离至安</w:t>
            </w:r>
            <w:r>
              <w:rPr>
                <w:sz w:val="24"/>
              </w:rPr>
              <w:t>全区。消除所有点火源。建议应急处理人员戴防毒面具,穿防毒服。穿上适当的防护</w:t>
            </w:r>
            <w:r>
              <w:rPr>
                <w:spacing w:val="-5"/>
                <w:sz w:val="24"/>
              </w:rPr>
              <w:t>服前严禁接触破裂的容器和泄漏物。尽可能切断泄漏源。防止泄漏物进入水体、下水</w:t>
            </w:r>
            <w:r>
              <w:rPr>
                <w:spacing w:val="-9"/>
                <w:sz w:val="24"/>
              </w:rPr>
              <w:t>道、地下室或密闭性空间。小量泄漏：用干燥的砂土或其它不燃材料吸收或覆盖，收</w:t>
            </w:r>
            <w:r>
              <w:rPr>
                <w:spacing w:val="-8"/>
                <w:sz w:val="24"/>
              </w:rPr>
              <w:t>集于容器中。大量泄漏：构筑围堤或挖坑收容。用飞尘或石灰粉吸收大量液体。用泵</w:t>
            </w:r>
          </w:p>
          <w:p>
            <w:pPr>
              <w:pStyle w:val="TableParagraph"/>
              <w:spacing w:line="292" w:lineRule="exact" w:before="4"/>
              <w:ind w:left="105" w:right="91"/>
              <w:rPr>
                <w:sz w:val="24"/>
              </w:rPr>
            </w:pPr>
            <w:r>
              <w:rPr>
                <w:sz w:val="24"/>
              </w:rPr>
              <w:t>转移至槽车或专用收集器内</w:t>
            </w:r>
          </w:p>
        </w:tc>
      </w:tr>
      <w:tr>
        <w:trPr>
          <w:trHeight w:val="1866" w:hRule="atLeast"/>
        </w:trPr>
        <w:tc>
          <w:tcPr>
            <w:tcW w:w="1680" w:type="dxa"/>
          </w:tcPr>
          <w:p>
            <w:pPr>
              <w:pStyle w:val="TableParagraph"/>
              <w:jc w:val="left"/>
              <w:rPr>
                <w:b/>
                <w:sz w:val="24"/>
              </w:rPr>
            </w:pPr>
          </w:p>
          <w:p>
            <w:pPr>
              <w:pStyle w:val="TableParagraph"/>
              <w:jc w:val="left"/>
              <w:rPr>
                <w:b/>
                <w:sz w:val="24"/>
              </w:rPr>
            </w:pPr>
          </w:p>
          <w:p>
            <w:pPr>
              <w:pStyle w:val="TableParagraph"/>
              <w:spacing w:before="162"/>
              <w:ind w:left="99" w:right="90"/>
              <w:rPr>
                <w:sz w:val="24"/>
              </w:rPr>
            </w:pPr>
            <w:r>
              <w:rPr>
                <w:sz w:val="24"/>
              </w:rPr>
              <w:t>醋酸储存罐区</w:t>
            </w:r>
          </w:p>
        </w:tc>
        <w:tc>
          <w:tcPr>
            <w:tcW w:w="2280" w:type="dxa"/>
          </w:tcPr>
          <w:p>
            <w:pPr>
              <w:pStyle w:val="TableParagraph"/>
              <w:jc w:val="left"/>
              <w:rPr>
                <w:b/>
                <w:sz w:val="24"/>
              </w:rPr>
            </w:pPr>
          </w:p>
          <w:p>
            <w:pPr>
              <w:pStyle w:val="TableParagraph"/>
              <w:jc w:val="left"/>
              <w:rPr>
                <w:b/>
                <w:sz w:val="24"/>
              </w:rPr>
            </w:pPr>
          </w:p>
          <w:p>
            <w:pPr>
              <w:pStyle w:val="TableParagraph"/>
              <w:spacing w:before="162"/>
              <w:ind w:left="631" w:right="622"/>
              <w:rPr>
                <w:sz w:val="24"/>
              </w:rPr>
            </w:pPr>
            <w:r>
              <w:rPr>
                <w:sz w:val="24"/>
              </w:rPr>
              <w:t>醋酸罐</w:t>
            </w:r>
          </w:p>
        </w:tc>
        <w:tc>
          <w:tcPr>
            <w:tcW w:w="1327" w:type="dxa"/>
          </w:tcPr>
          <w:p>
            <w:pPr>
              <w:pStyle w:val="TableParagraph"/>
              <w:jc w:val="left"/>
              <w:rPr>
                <w:b/>
                <w:sz w:val="24"/>
              </w:rPr>
            </w:pPr>
          </w:p>
          <w:p>
            <w:pPr>
              <w:pStyle w:val="TableParagraph"/>
              <w:jc w:val="left"/>
              <w:rPr>
                <w:b/>
                <w:sz w:val="24"/>
              </w:rPr>
            </w:pPr>
          </w:p>
          <w:p>
            <w:pPr>
              <w:pStyle w:val="TableParagraph"/>
              <w:spacing w:before="162"/>
              <w:ind w:left="146" w:right="155"/>
              <w:rPr>
                <w:sz w:val="24"/>
              </w:rPr>
            </w:pPr>
            <w:r>
              <w:rPr>
                <w:sz w:val="24"/>
              </w:rPr>
              <w:t>醋酸</w:t>
            </w:r>
          </w:p>
        </w:tc>
        <w:tc>
          <w:tcPr>
            <w:tcW w:w="9029" w:type="dxa"/>
          </w:tcPr>
          <w:p>
            <w:pPr>
              <w:pStyle w:val="TableParagraph"/>
              <w:spacing w:line="242" w:lineRule="auto"/>
              <w:ind w:left="110" w:right="91"/>
              <w:jc w:val="both"/>
              <w:rPr>
                <w:sz w:val="24"/>
              </w:rPr>
            </w:pPr>
            <w:r>
              <w:rPr>
                <w:spacing w:val="-6"/>
                <w:sz w:val="24"/>
              </w:rPr>
              <w:t>迅速撤离泄漏污染区人员至安全区，并进行隔离，严格限制出入。切断火源。建议应</w:t>
            </w:r>
            <w:r>
              <w:rPr>
                <w:spacing w:val="-5"/>
                <w:sz w:val="24"/>
              </w:rPr>
              <w:t>急处理人员戴自给正压式呼吸器，穿防酸碱工作服。不要直接接触泄漏物，尽可能切</w:t>
            </w:r>
            <w:r>
              <w:rPr>
                <w:spacing w:val="-7"/>
                <w:sz w:val="24"/>
              </w:rPr>
              <w:t>断泄漏源，防止进入下水道、排洪沟等限制性空间。小量泄漏：用砂土、干燥石灰或</w:t>
            </w:r>
            <w:r>
              <w:rPr>
                <w:spacing w:val="-11"/>
                <w:sz w:val="24"/>
              </w:rPr>
              <w:t>苏打灰混合。大量泄漏：建筑围堤或挖坑收容；喷雾状水冷却和稀释蒸汽、保护现场</w:t>
            </w:r>
            <w:r>
              <w:rPr>
                <w:spacing w:val="-9"/>
                <w:sz w:val="24"/>
              </w:rPr>
              <w:t>人员、把泄漏物稀释成不燃物。用防爆泵转移至槽车或专用收集容器内，回收或运至</w:t>
            </w:r>
          </w:p>
          <w:p>
            <w:pPr>
              <w:pStyle w:val="TableParagraph"/>
              <w:spacing w:line="292" w:lineRule="exact" w:before="2"/>
              <w:ind w:left="105" w:right="91"/>
              <w:rPr>
                <w:sz w:val="24"/>
              </w:rPr>
            </w:pPr>
            <w:r>
              <w:rPr>
                <w:sz w:val="24"/>
              </w:rPr>
              <w:t>废物处理场所处置</w:t>
            </w:r>
          </w:p>
        </w:tc>
      </w:tr>
      <w:tr>
        <w:trPr>
          <w:trHeight w:val="1245" w:hRule="atLeast"/>
        </w:trPr>
        <w:tc>
          <w:tcPr>
            <w:tcW w:w="1680" w:type="dxa"/>
          </w:tcPr>
          <w:p>
            <w:pPr>
              <w:pStyle w:val="TableParagraph"/>
              <w:jc w:val="left"/>
              <w:rPr>
                <w:b/>
                <w:sz w:val="24"/>
              </w:rPr>
            </w:pPr>
          </w:p>
          <w:p>
            <w:pPr>
              <w:pStyle w:val="TableParagraph"/>
              <w:spacing w:before="158"/>
              <w:ind w:left="99" w:right="90"/>
              <w:rPr>
                <w:sz w:val="24"/>
              </w:rPr>
            </w:pPr>
            <w:r>
              <w:rPr>
                <w:sz w:val="24"/>
              </w:rPr>
              <w:t>乙二醇储罐区</w:t>
            </w:r>
          </w:p>
        </w:tc>
        <w:tc>
          <w:tcPr>
            <w:tcW w:w="2280" w:type="dxa"/>
          </w:tcPr>
          <w:p>
            <w:pPr>
              <w:pStyle w:val="TableParagraph"/>
              <w:jc w:val="left"/>
              <w:rPr>
                <w:b/>
                <w:sz w:val="24"/>
              </w:rPr>
            </w:pPr>
          </w:p>
          <w:p>
            <w:pPr>
              <w:pStyle w:val="TableParagraph"/>
              <w:spacing w:before="158"/>
              <w:ind w:left="631" w:right="622"/>
              <w:rPr>
                <w:sz w:val="24"/>
              </w:rPr>
            </w:pPr>
            <w:r>
              <w:rPr>
                <w:sz w:val="24"/>
              </w:rPr>
              <w:t>乙二醇罐</w:t>
            </w:r>
          </w:p>
        </w:tc>
        <w:tc>
          <w:tcPr>
            <w:tcW w:w="1327" w:type="dxa"/>
          </w:tcPr>
          <w:p>
            <w:pPr>
              <w:pStyle w:val="TableParagraph"/>
              <w:jc w:val="left"/>
              <w:rPr>
                <w:b/>
                <w:sz w:val="24"/>
              </w:rPr>
            </w:pPr>
          </w:p>
          <w:p>
            <w:pPr>
              <w:pStyle w:val="TableParagraph"/>
              <w:spacing w:before="158"/>
              <w:ind w:left="146" w:right="155"/>
              <w:rPr>
                <w:sz w:val="24"/>
              </w:rPr>
            </w:pPr>
            <w:r>
              <w:rPr>
                <w:sz w:val="24"/>
              </w:rPr>
              <w:t>乙二醇</w:t>
            </w:r>
          </w:p>
        </w:tc>
        <w:tc>
          <w:tcPr>
            <w:tcW w:w="9029" w:type="dxa"/>
          </w:tcPr>
          <w:p>
            <w:pPr>
              <w:pStyle w:val="TableParagraph"/>
              <w:spacing w:line="242" w:lineRule="auto"/>
              <w:ind w:left="110" w:right="91"/>
              <w:jc w:val="both"/>
              <w:rPr>
                <w:sz w:val="24"/>
              </w:rPr>
            </w:pPr>
            <w:r>
              <w:rPr>
                <w:spacing w:val="-5"/>
                <w:sz w:val="24"/>
              </w:rPr>
              <w:t>根据液体流动和蒸气扩散的影响区域划定警戒区，无关人员从侧风、上风向撤离至安</w:t>
            </w:r>
            <w:r>
              <w:rPr>
                <w:sz w:val="24"/>
              </w:rPr>
              <w:t>全区。消除所有点火源。建议应急处理人员戴防毒面具,穿防毒服。穿上适当的防护</w:t>
            </w:r>
            <w:r>
              <w:rPr>
                <w:spacing w:val="-5"/>
                <w:sz w:val="24"/>
              </w:rPr>
              <w:t>服前严禁接触破裂的容器和泄漏物。尽可能切断泄漏源。防止泄漏物进入水体、下水</w:t>
            </w:r>
          </w:p>
          <w:p>
            <w:pPr>
              <w:pStyle w:val="TableParagraph"/>
              <w:spacing w:line="292" w:lineRule="exact" w:before="1"/>
              <w:ind w:left="110"/>
              <w:jc w:val="left"/>
              <w:rPr>
                <w:sz w:val="24"/>
              </w:rPr>
            </w:pPr>
            <w:r>
              <w:rPr>
                <w:spacing w:val="-8"/>
                <w:sz w:val="24"/>
              </w:rPr>
              <w:t>道、地下室或密闭性空间。小量泄漏：用干燥的砂土或其它不燃材料吸收或覆盖，收</w:t>
            </w:r>
          </w:p>
        </w:tc>
      </w:tr>
    </w:tbl>
    <w:p>
      <w:pPr>
        <w:pStyle w:val="BodyText"/>
        <w:rPr>
          <w:b/>
          <w:sz w:val="20"/>
        </w:rPr>
      </w:pPr>
    </w:p>
    <w:p>
      <w:pPr>
        <w:pStyle w:val="BodyText"/>
        <w:spacing w:before="2"/>
        <w:rPr>
          <w:b/>
          <w:sz w:val="12"/>
        </w:rPr>
      </w:pPr>
      <w:r>
        <w:rPr/>
        <w:pict>
          <v:line style="position:absolute;mso-position-horizontal-relative:page;mso-position-vertical-relative:paragraph;z-index:-251570176;mso-wrap-distance-left:0;mso-wrap-distance-right:0" from="55.200001pt,9.9875pt" to="758.280001pt,9.9875pt" stroked="true" strokeweight=".48pt" strokecolor="#000000">
            <v:stroke dashstyle="solid"/>
            <w10:wrap type="topAndBottom"/>
          </v:line>
        </w:pict>
      </w:r>
    </w:p>
    <w:p>
      <w:pPr>
        <w:spacing w:after="0"/>
        <w:rPr>
          <w:sz w:val="12"/>
        </w:rPr>
        <w:sectPr>
          <w:footerReference w:type="default" r:id="rId43"/>
          <w:pgSz w:w="16840" w:h="11910" w:orient="landscape"/>
          <w:pgMar w:footer="951" w:header="0" w:top="1100" w:bottom="1140" w:left="920" w:right="138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2280"/>
        <w:gridCol w:w="1327"/>
        <w:gridCol w:w="9029"/>
      </w:tblGrid>
      <w:tr>
        <w:trPr>
          <w:trHeight w:val="621" w:hRule="atLeast"/>
        </w:trPr>
        <w:tc>
          <w:tcPr>
            <w:tcW w:w="1680" w:type="dxa"/>
          </w:tcPr>
          <w:p>
            <w:pPr>
              <w:pStyle w:val="TableParagraph"/>
              <w:jc w:val="left"/>
              <w:rPr>
                <w:rFonts w:ascii="Times New Roman"/>
                <w:sz w:val="22"/>
              </w:rPr>
            </w:pPr>
          </w:p>
        </w:tc>
        <w:tc>
          <w:tcPr>
            <w:tcW w:w="2280" w:type="dxa"/>
          </w:tcPr>
          <w:p>
            <w:pPr>
              <w:pStyle w:val="TableParagraph"/>
              <w:jc w:val="left"/>
              <w:rPr>
                <w:rFonts w:ascii="Times New Roman"/>
                <w:sz w:val="22"/>
              </w:rPr>
            </w:pPr>
          </w:p>
        </w:tc>
        <w:tc>
          <w:tcPr>
            <w:tcW w:w="1327" w:type="dxa"/>
          </w:tcPr>
          <w:p>
            <w:pPr>
              <w:pStyle w:val="TableParagraph"/>
              <w:jc w:val="left"/>
              <w:rPr>
                <w:rFonts w:ascii="Times New Roman"/>
                <w:sz w:val="22"/>
              </w:rPr>
            </w:pPr>
          </w:p>
        </w:tc>
        <w:tc>
          <w:tcPr>
            <w:tcW w:w="9029" w:type="dxa"/>
          </w:tcPr>
          <w:p>
            <w:pPr>
              <w:pStyle w:val="TableParagraph"/>
              <w:ind w:left="14"/>
              <w:rPr>
                <w:sz w:val="24"/>
              </w:rPr>
            </w:pPr>
            <w:r>
              <w:rPr>
                <w:sz w:val="24"/>
              </w:rPr>
              <w:t>集于容器中。大量泄漏：构筑围堤或挖坑收容。用飞尘或石灰粉吸收大量液体。用泵</w:t>
            </w:r>
          </w:p>
          <w:p>
            <w:pPr>
              <w:pStyle w:val="TableParagraph"/>
              <w:spacing w:line="292" w:lineRule="exact" w:before="2"/>
              <w:ind w:left="105" w:right="91"/>
              <w:rPr>
                <w:sz w:val="24"/>
              </w:rPr>
            </w:pPr>
            <w:r>
              <w:rPr>
                <w:sz w:val="24"/>
              </w:rPr>
              <w:t>转移至槽车或专用收集器内</w:t>
            </w:r>
          </w:p>
        </w:tc>
      </w:tr>
      <w:tr>
        <w:trPr>
          <w:trHeight w:val="623" w:hRule="atLeast"/>
        </w:trPr>
        <w:tc>
          <w:tcPr>
            <w:tcW w:w="1680" w:type="dxa"/>
          </w:tcPr>
          <w:p>
            <w:pPr>
              <w:pStyle w:val="TableParagraph"/>
              <w:spacing w:before="156"/>
              <w:ind w:left="99" w:right="90"/>
              <w:rPr>
                <w:sz w:val="24"/>
              </w:rPr>
            </w:pPr>
            <w:r>
              <w:rPr>
                <w:sz w:val="24"/>
              </w:rPr>
              <w:t>丙二醇储罐区</w:t>
            </w:r>
          </w:p>
        </w:tc>
        <w:tc>
          <w:tcPr>
            <w:tcW w:w="2280" w:type="dxa"/>
          </w:tcPr>
          <w:p>
            <w:pPr>
              <w:pStyle w:val="TableParagraph"/>
              <w:spacing w:before="156"/>
              <w:ind w:left="631" w:right="622"/>
              <w:rPr>
                <w:sz w:val="24"/>
              </w:rPr>
            </w:pPr>
            <w:r>
              <w:rPr>
                <w:sz w:val="24"/>
              </w:rPr>
              <w:t>丙二醇罐</w:t>
            </w:r>
          </w:p>
        </w:tc>
        <w:tc>
          <w:tcPr>
            <w:tcW w:w="1327" w:type="dxa"/>
          </w:tcPr>
          <w:p>
            <w:pPr>
              <w:pStyle w:val="TableParagraph"/>
              <w:spacing w:before="156"/>
              <w:ind w:left="154" w:right="147"/>
              <w:rPr>
                <w:sz w:val="24"/>
              </w:rPr>
            </w:pPr>
            <w:r>
              <w:rPr>
                <w:sz w:val="24"/>
              </w:rPr>
              <w:t>丙二醇</w:t>
            </w:r>
          </w:p>
        </w:tc>
        <w:tc>
          <w:tcPr>
            <w:tcW w:w="9029" w:type="dxa"/>
          </w:tcPr>
          <w:p>
            <w:pPr>
              <w:pStyle w:val="TableParagraph"/>
              <w:ind w:left="81"/>
              <w:rPr>
                <w:sz w:val="24"/>
              </w:rPr>
            </w:pPr>
            <w:r>
              <w:rPr>
                <w:sz w:val="24"/>
              </w:rPr>
              <w:t>迅速撤离污染区人员至安全区，并进行隔离、严格限制，出入不要直接接触泄漏物，</w:t>
            </w:r>
          </w:p>
          <w:p>
            <w:pPr>
              <w:pStyle w:val="TableParagraph"/>
              <w:tabs>
                <w:tab w:pos="4814" w:val="left" w:leader="none"/>
              </w:tabs>
              <w:spacing w:line="292" w:lineRule="exact" w:before="4"/>
              <w:ind w:left="14"/>
              <w:rPr>
                <w:sz w:val="24"/>
              </w:rPr>
            </w:pPr>
            <w:r>
              <w:rPr>
                <w:sz w:val="24"/>
              </w:rPr>
              <w:t>尽可能切断电源，防止进入下水道，排污沟</w:t>
              <w:tab/>
              <w:t>等，限制性空间</w:t>
            </w:r>
          </w:p>
        </w:tc>
      </w:tr>
      <w:tr>
        <w:trPr>
          <w:trHeight w:val="1554" w:hRule="atLeast"/>
        </w:trPr>
        <w:tc>
          <w:tcPr>
            <w:tcW w:w="1680" w:type="dxa"/>
          </w:tcPr>
          <w:p>
            <w:pPr>
              <w:pStyle w:val="TableParagraph"/>
              <w:jc w:val="left"/>
              <w:rPr>
                <w:rFonts w:ascii="Times New Roman"/>
                <w:sz w:val="24"/>
              </w:rPr>
            </w:pPr>
          </w:p>
          <w:p>
            <w:pPr>
              <w:pStyle w:val="TableParagraph"/>
              <w:jc w:val="left"/>
              <w:rPr>
                <w:rFonts w:ascii="Times New Roman"/>
                <w:sz w:val="30"/>
              </w:rPr>
            </w:pPr>
          </w:p>
          <w:p>
            <w:pPr>
              <w:pStyle w:val="TableParagraph"/>
              <w:ind w:left="99" w:right="90"/>
              <w:rPr>
                <w:sz w:val="24"/>
              </w:rPr>
            </w:pPr>
            <w:r>
              <w:rPr>
                <w:sz w:val="24"/>
              </w:rPr>
              <w:t>氨水储罐区</w:t>
            </w:r>
          </w:p>
        </w:tc>
        <w:tc>
          <w:tcPr>
            <w:tcW w:w="2280" w:type="dxa"/>
          </w:tcPr>
          <w:p>
            <w:pPr>
              <w:pStyle w:val="TableParagraph"/>
              <w:jc w:val="left"/>
              <w:rPr>
                <w:rFonts w:ascii="Times New Roman"/>
                <w:sz w:val="24"/>
              </w:rPr>
            </w:pPr>
          </w:p>
          <w:p>
            <w:pPr>
              <w:pStyle w:val="TableParagraph"/>
              <w:jc w:val="left"/>
              <w:rPr>
                <w:rFonts w:ascii="Times New Roman"/>
                <w:sz w:val="30"/>
              </w:rPr>
            </w:pPr>
          </w:p>
          <w:p>
            <w:pPr>
              <w:pStyle w:val="TableParagraph"/>
              <w:ind w:left="631" w:right="622"/>
              <w:rPr>
                <w:sz w:val="24"/>
              </w:rPr>
            </w:pPr>
            <w:r>
              <w:rPr>
                <w:sz w:val="24"/>
              </w:rPr>
              <w:t>氨水罐</w:t>
            </w:r>
          </w:p>
        </w:tc>
        <w:tc>
          <w:tcPr>
            <w:tcW w:w="1327" w:type="dxa"/>
          </w:tcPr>
          <w:p>
            <w:pPr>
              <w:pStyle w:val="TableParagraph"/>
              <w:jc w:val="left"/>
              <w:rPr>
                <w:rFonts w:ascii="Times New Roman"/>
                <w:sz w:val="24"/>
              </w:rPr>
            </w:pPr>
          </w:p>
          <w:p>
            <w:pPr>
              <w:pStyle w:val="TableParagraph"/>
              <w:jc w:val="left"/>
              <w:rPr>
                <w:rFonts w:ascii="Times New Roman"/>
                <w:sz w:val="30"/>
              </w:rPr>
            </w:pPr>
          </w:p>
          <w:p>
            <w:pPr>
              <w:pStyle w:val="TableParagraph"/>
              <w:ind w:left="154" w:right="147"/>
              <w:rPr>
                <w:sz w:val="24"/>
              </w:rPr>
            </w:pPr>
            <w:r>
              <w:rPr>
                <w:sz w:val="24"/>
              </w:rPr>
              <w:t>氨水</w:t>
            </w:r>
          </w:p>
        </w:tc>
        <w:tc>
          <w:tcPr>
            <w:tcW w:w="9029" w:type="dxa"/>
          </w:tcPr>
          <w:p>
            <w:pPr>
              <w:pStyle w:val="TableParagraph"/>
              <w:spacing w:line="242" w:lineRule="auto"/>
              <w:ind w:left="110" w:right="-29"/>
              <w:jc w:val="left"/>
              <w:rPr>
                <w:sz w:val="24"/>
              </w:rPr>
            </w:pPr>
            <w:r>
              <w:rPr>
                <w:spacing w:val="-3"/>
                <w:sz w:val="24"/>
              </w:rPr>
              <w:t>迅速将泄漏污染区的人员撤离至安全区域。应急处理人员应戴自给正压式呼吸器，穿</w:t>
            </w:r>
            <w:r>
              <w:rPr>
                <w:spacing w:val="-15"/>
                <w:sz w:val="24"/>
              </w:rPr>
              <w:t>防酸碱工作服。设法切断泄漏源，防止进入下水道、排洪沟等限制性空间。小量泄漏： </w:t>
            </w:r>
            <w:r>
              <w:rPr>
                <w:spacing w:val="-8"/>
                <w:sz w:val="24"/>
              </w:rPr>
              <w:t>用砂土、稀硫酸混合。也可用大量水冲洗，洗水稀释后放入废水系统。大量泄漏：构</w:t>
            </w:r>
            <w:r>
              <w:rPr>
                <w:spacing w:val="-17"/>
                <w:sz w:val="24"/>
              </w:rPr>
              <w:t>筑围堤或挖坑收容；用泵转移至槽车或专用收集器内，用酸性溶液中和至中性后排放，</w:t>
            </w:r>
          </w:p>
          <w:p>
            <w:pPr>
              <w:pStyle w:val="TableParagraph"/>
              <w:spacing w:line="289" w:lineRule="exact" w:before="3"/>
              <w:ind w:left="2836"/>
              <w:jc w:val="left"/>
              <w:rPr>
                <w:sz w:val="24"/>
              </w:rPr>
            </w:pPr>
            <w:r>
              <w:rPr>
                <w:sz w:val="24"/>
              </w:rPr>
              <w:t>并应对泄漏现场作进一步的清洗</w:t>
            </w:r>
          </w:p>
        </w:tc>
      </w:tr>
      <w:tr>
        <w:trPr>
          <w:trHeight w:val="1333" w:hRule="atLeast"/>
        </w:trPr>
        <w:tc>
          <w:tcPr>
            <w:tcW w:w="1680" w:type="dxa"/>
          </w:tcPr>
          <w:p>
            <w:pPr>
              <w:pStyle w:val="TableParagraph"/>
              <w:jc w:val="left"/>
              <w:rPr>
                <w:rFonts w:ascii="Times New Roman"/>
                <w:sz w:val="24"/>
              </w:rPr>
            </w:pPr>
          </w:p>
          <w:p>
            <w:pPr>
              <w:pStyle w:val="TableParagraph"/>
              <w:spacing w:before="5"/>
              <w:jc w:val="left"/>
              <w:rPr>
                <w:rFonts w:ascii="Times New Roman"/>
                <w:sz w:val="20"/>
              </w:rPr>
            </w:pPr>
          </w:p>
          <w:p>
            <w:pPr>
              <w:pStyle w:val="TableParagraph"/>
              <w:ind w:left="99" w:right="90"/>
              <w:rPr>
                <w:sz w:val="24"/>
              </w:rPr>
            </w:pPr>
            <w:r>
              <w:rPr>
                <w:sz w:val="24"/>
              </w:rPr>
              <w:t>废气处理设施</w:t>
            </w:r>
          </w:p>
        </w:tc>
        <w:tc>
          <w:tcPr>
            <w:tcW w:w="2280" w:type="dxa"/>
          </w:tcPr>
          <w:p>
            <w:pPr>
              <w:pStyle w:val="TableParagraph"/>
              <w:spacing w:before="10"/>
              <w:jc w:val="left"/>
              <w:rPr>
                <w:rFonts w:ascii="Times New Roman"/>
                <w:sz w:val="30"/>
              </w:rPr>
            </w:pPr>
          </w:p>
          <w:p>
            <w:pPr>
              <w:pStyle w:val="TableParagraph"/>
              <w:spacing w:line="242" w:lineRule="auto"/>
              <w:ind w:left="1010" w:right="240" w:hanging="780"/>
              <w:jc w:val="left"/>
              <w:rPr>
                <w:sz w:val="24"/>
              </w:rPr>
            </w:pPr>
            <w:r>
              <w:rPr>
                <w:sz w:val="24"/>
              </w:rPr>
              <w:t>废气处置设施故障</w:t>
            </w:r>
          </w:p>
        </w:tc>
        <w:tc>
          <w:tcPr>
            <w:tcW w:w="1327" w:type="dxa"/>
          </w:tcPr>
          <w:p>
            <w:pPr>
              <w:pStyle w:val="TableParagraph"/>
              <w:spacing w:line="242" w:lineRule="auto" w:before="199"/>
              <w:ind w:left="107" w:right="7" w:hanging="91"/>
              <w:rPr>
                <w:sz w:val="24"/>
              </w:rPr>
            </w:pPr>
            <w:r>
              <w:rPr>
                <w:sz w:val="24"/>
              </w:rPr>
              <w:t>乙腈、氨 </w:t>
            </w:r>
            <w:r>
              <w:rPr>
                <w:spacing w:val="-4"/>
                <w:sz w:val="24"/>
              </w:rPr>
              <w:t>气、甲醇、</w:t>
            </w:r>
            <w:r>
              <w:rPr>
                <w:sz w:val="24"/>
              </w:rPr>
              <w:t>丙酮</w:t>
            </w:r>
          </w:p>
        </w:tc>
        <w:tc>
          <w:tcPr>
            <w:tcW w:w="9029" w:type="dxa"/>
          </w:tcPr>
          <w:p>
            <w:pPr>
              <w:pStyle w:val="TableParagraph"/>
              <w:spacing w:before="10"/>
              <w:jc w:val="left"/>
              <w:rPr>
                <w:rFonts w:ascii="Times New Roman"/>
                <w:sz w:val="30"/>
              </w:rPr>
            </w:pPr>
          </w:p>
          <w:p>
            <w:pPr>
              <w:pStyle w:val="TableParagraph"/>
              <w:spacing w:line="242" w:lineRule="auto"/>
              <w:ind w:left="4276" w:right="94" w:hanging="4167"/>
              <w:jc w:val="left"/>
              <w:rPr>
                <w:sz w:val="24"/>
              </w:rPr>
            </w:pPr>
            <w:r>
              <w:rPr>
                <w:spacing w:val="-7"/>
                <w:sz w:val="24"/>
              </w:rPr>
              <w:t>对生产线紧急停车，减少各种废气的产生。直至废气处置设施维修正常后恢复生产状</w:t>
            </w:r>
            <w:r>
              <w:rPr>
                <w:sz w:val="24"/>
              </w:rPr>
              <w:t>态。</w:t>
            </w:r>
          </w:p>
        </w:tc>
      </w:tr>
      <w:tr>
        <w:trPr>
          <w:trHeight w:val="621" w:hRule="atLeast"/>
        </w:trPr>
        <w:tc>
          <w:tcPr>
            <w:tcW w:w="1680" w:type="dxa"/>
          </w:tcPr>
          <w:p>
            <w:pPr>
              <w:pStyle w:val="TableParagraph"/>
              <w:spacing w:before="156"/>
              <w:ind w:left="99" w:right="90"/>
              <w:rPr>
                <w:sz w:val="24"/>
              </w:rPr>
            </w:pPr>
            <w:r>
              <w:rPr>
                <w:sz w:val="24"/>
              </w:rPr>
              <w:t>废水处理设施</w:t>
            </w:r>
          </w:p>
        </w:tc>
        <w:tc>
          <w:tcPr>
            <w:tcW w:w="2280" w:type="dxa"/>
          </w:tcPr>
          <w:p>
            <w:pPr>
              <w:pStyle w:val="TableParagraph"/>
              <w:spacing w:before="156"/>
              <w:ind w:left="623" w:right="630"/>
              <w:rPr>
                <w:sz w:val="24"/>
              </w:rPr>
            </w:pPr>
            <w:r>
              <w:rPr>
                <w:sz w:val="24"/>
              </w:rPr>
              <w:t>污水站</w:t>
            </w:r>
          </w:p>
        </w:tc>
        <w:tc>
          <w:tcPr>
            <w:tcW w:w="1327" w:type="dxa"/>
          </w:tcPr>
          <w:p>
            <w:pPr>
              <w:pStyle w:val="TableParagraph"/>
              <w:spacing w:before="156"/>
              <w:ind w:left="154" w:right="147"/>
              <w:rPr>
                <w:sz w:val="24"/>
              </w:rPr>
            </w:pPr>
            <w:r>
              <w:rPr>
                <w:sz w:val="24"/>
              </w:rPr>
              <w:t>生产废水</w:t>
            </w:r>
          </w:p>
        </w:tc>
        <w:tc>
          <w:tcPr>
            <w:tcW w:w="9029" w:type="dxa"/>
          </w:tcPr>
          <w:p>
            <w:pPr>
              <w:pStyle w:val="TableParagraph"/>
              <w:ind w:left="14"/>
              <w:rPr>
                <w:sz w:val="24"/>
              </w:rPr>
            </w:pPr>
            <w:r>
              <w:rPr>
                <w:sz w:val="24"/>
              </w:rPr>
              <w:t>对生产线紧急停车，减少各种废水的产生。直至废水处置设施维修正常后恢复生产状</w:t>
            </w:r>
          </w:p>
          <w:p>
            <w:pPr>
              <w:pStyle w:val="TableParagraph"/>
              <w:spacing w:line="289" w:lineRule="exact" w:before="4"/>
              <w:ind w:left="105" w:right="91"/>
              <w:rPr>
                <w:sz w:val="24"/>
              </w:rPr>
            </w:pPr>
            <w:r>
              <w:rPr>
                <w:sz w:val="24"/>
              </w:rPr>
              <w:t>态。</w:t>
            </w:r>
          </w:p>
        </w:tc>
      </w:tr>
    </w:tbl>
    <w:p>
      <w:pPr>
        <w:spacing w:after="0" w:line="289" w:lineRule="exact"/>
        <w:rPr>
          <w:sz w:val="24"/>
        </w:rPr>
        <w:sectPr>
          <w:footerReference w:type="default" r:id="rId44"/>
          <w:pgSz w:w="16840" w:h="11910" w:orient="landscape"/>
          <w:pgMar w:footer="951" w:header="0" w:top="1100" w:bottom="1140" w:left="920" w:right="1380"/>
        </w:sectPr>
      </w:pPr>
    </w:p>
    <w:p>
      <w:pPr>
        <w:pStyle w:val="BodyText"/>
        <w:spacing w:before="102"/>
        <w:ind w:left="660"/>
      </w:pPr>
      <w:r>
        <w:rPr/>
        <w:t>1、罐区突发环境事件的应急处置措施</w:t>
      </w:r>
    </w:p>
    <w:p>
      <w:pPr>
        <w:pStyle w:val="ListParagraph"/>
        <w:numPr>
          <w:ilvl w:val="0"/>
          <w:numId w:val="37"/>
        </w:numPr>
        <w:tabs>
          <w:tab w:pos="1363" w:val="left" w:leader="none"/>
        </w:tabs>
        <w:spacing w:line="364" w:lineRule="auto" w:before="186" w:after="0"/>
        <w:ind w:left="101" w:right="253" w:firstLine="559"/>
        <w:jc w:val="left"/>
        <w:rPr>
          <w:sz w:val="28"/>
        </w:rPr>
      </w:pPr>
      <w:r>
        <w:rPr>
          <w:spacing w:val="-6"/>
          <w:sz w:val="28"/>
        </w:rPr>
        <w:t>有关作业岗位停止作业，关闭相关的机泵、电源、相临贯通</w:t>
      </w:r>
      <w:r>
        <w:rPr>
          <w:spacing w:val="-3"/>
          <w:sz w:val="28"/>
        </w:rPr>
        <w:t>的管道工艺阀门，转移现场可燃或易燃物品。</w:t>
      </w:r>
    </w:p>
    <w:p>
      <w:pPr>
        <w:pStyle w:val="ListParagraph"/>
        <w:numPr>
          <w:ilvl w:val="0"/>
          <w:numId w:val="37"/>
        </w:numPr>
        <w:tabs>
          <w:tab w:pos="1363" w:val="left" w:leader="none"/>
        </w:tabs>
        <w:spacing w:line="358" w:lineRule="exact" w:before="0" w:after="0"/>
        <w:ind w:left="1362" w:right="0" w:hanging="703"/>
        <w:jc w:val="left"/>
        <w:rPr>
          <w:sz w:val="28"/>
        </w:rPr>
      </w:pPr>
      <w:r>
        <w:rPr>
          <w:spacing w:val="-3"/>
          <w:sz w:val="28"/>
        </w:rPr>
        <w:t>就近人员立即抢救或搜寻可能的受伤、被困人员。</w:t>
      </w:r>
    </w:p>
    <w:p>
      <w:pPr>
        <w:pStyle w:val="ListParagraph"/>
        <w:numPr>
          <w:ilvl w:val="0"/>
          <w:numId w:val="37"/>
        </w:numPr>
        <w:tabs>
          <w:tab w:pos="1363" w:val="left" w:leader="none"/>
        </w:tabs>
        <w:spacing w:line="364" w:lineRule="auto" w:before="186" w:after="0"/>
        <w:ind w:left="101" w:right="256" w:firstLine="559"/>
        <w:jc w:val="both"/>
        <w:rPr>
          <w:sz w:val="28"/>
        </w:rPr>
      </w:pPr>
      <w:r>
        <w:rPr>
          <w:spacing w:val="-5"/>
          <w:sz w:val="28"/>
        </w:rPr>
        <w:t>最早发现者应立即向本单位报警。小量泄漏时，现场人员应</w:t>
      </w:r>
      <w:r>
        <w:rPr>
          <w:spacing w:val="-1"/>
          <w:sz w:val="28"/>
        </w:rPr>
        <w:t>立即采取有效措施消除泄漏源。当大量泄漏并难以控制时现场人员应</w:t>
      </w:r>
      <w:r>
        <w:rPr>
          <w:spacing w:val="-3"/>
          <w:sz w:val="28"/>
        </w:rPr>
        <w:t>立即报告应急指挥中心。</w:t>
      </w:r>
    </w:p>
    <w:p>
      <w:pPr>
        <w:pStyle w:val="ListParagraph"/>
        <w:numPr>
          <w:ilvl w:val="0"/>
          <w:numId w:val="37"/>
        </w:numPr>
        <w:tabs>
          <w:tab w:pos="1363" w:val="left" w:leader="none"/>
        </w:tabs>
        <w:spacing w:line="364" w:lineRule="auto" w:before="0" w:after="0"/>
        <w:ind w:left="101" w:right="258" w:firstLine="559"/>
        <w:jc w:val="both"/>
        <w:rPr>
          <w:sz w:val="28"/>
        </w:rPr>
      </w:pPr>
      <w:r>
        <w:rPr>
          <w:spacing w:val="-4"/>
          <w:sz w:val="28"/>
        </w:rPr>
        <w:t>应急指挥中心接到应急救援报告并汇报应急领导小组后， </w:t>
      </w:r>
      <w:r>
        <w:rPr>
          <w:sz w:val="28"/>
        </w:rPr>
        <w:t>应当派员立即赶赴事件现场，统筹安排应急救援行动，防止事故蔓延、扩大，减少事故损失。应急处置人员应佩戴好正压式空气呼吸器， 穿防静电、防化服装，才能进入事件现场，完成侦检、堵漏、救援等任务。</w:t>
      </w:r>
    </w:p>
    <w:p>
      <w:pPr>
        <w:pStyle w:val="ListParagraph"/>
        <w:numPr>
          <w:ilvl w:val="0"/>
          <w:numId w:val="37"/>
        </w:numPr>
        <w:tabs>
          <w:tab w:pos="1363" w:val="left" w:leader="none"/>
        </w:tabs>
        <w:spacing w:line="364" w:lineRule="auto" w:before="0" w:after="0"/>
        <w:ind w:left="101" w:right="116" w:firstLine="559"/>
        <w:jc w:val="left"/>
        <w:rPr>
          <w:sz w:val="28"/>
        </w:rPr>
      </w:pPr>
      <w:r>
        <w:rPr>
          <w:spacing w:val="-5"/>
          <w:sz w:val="28"/>
        </w:rPr>
        <w:t>根据泄漏物质的理化性质、燃爆特性、毒性以及现场监测结</w:t>
      </w:r>
      <w:r>
        <w:rPr>
          <w:spacing w:val="-1"/>
          <w:sz w:val="28"/>
        </w:rPr>
        <w:t>果设定初始隔离区，紧急疏散转移隔离区内所有无关人员，由门卫人</w:t>
      </w:r>
      <w:r>
        <w:rPr>
          <w:spacing w:val="-6"/>
          <w:sz w:val="28"/>
        </w:rPr>
        <w:t>员把守重要出入口。实时监测空气中有毒有害、易燃易爆气体的浓度， </w:t>
      </w:r>
      <w:r>
        <w:rPr>
          <w:spacing w:val="-8"/>
          <w:sz w:val="28"/>
        </w:rPr>
        <w:t>及时调整隔离区的范围。消除事件现场所有点火源，防止燃烧和爆炸。</w:t>
      </w:r>
    </w:p>
    <w:p>
      <w:pPr>
        <w:pStyle w:val="ListParagraph"/>
        <w:numPr>
          <w:ilvl w:val="0"/>
          <w:numId w:val="37"/>
        </w:numPr>
        <w:tabs>
          <w:tab w:pos="1363" w:val="left" w:leader="none"/>
        </w:tabs>
        <w:spacing w:line="364" w:lineRule="auto" w:before="0" w:after="0"/>
        <w:ind w:left="101" w:right="119" w:firstLine="559"/>
        <w:jc w:val="left"/>
        <w:rPr>
          <w:sz w:val="28"/>
        </w:rPr>
      </w:pPr>
      <w:r>
        <w:rPr>
          <w:spacing w:val="-13"/>
          <w:sz w:val="28"/>
        </w:rPr>
        <w:t>根据现场情况，若易燃液体泄漏，立即研究抢险及堵漏方案</w:t>
      </w:r>
      <w:r>
        <w:rPr>
          <w:spacing w:val="-3"/>
          <w:sz w:val="28"/>
        </w:rPr>
        <w:t>，所有堵漏行为必须采取防腐蚀、防爆、防毒措施，确保安全。</w:t>
      </w:r>
    </w:p>
    <w:p>
      <w:pPr>
        <w:pStyle w:val="ListParagraph"/>
        <w:numPr>
          <w:ilvl w:val="0"/>
          <w:numId w:val="37"/>
        </w:numPr>
        <w:tabs>
          <w:tab w:pos="1363" w:val="left" w:leader="none"/>
        </w:tabs>
        <w:spacing w:line="364" w:lineRule="auto" w:before="0" w:after="0"/>
        <w:ind w:left="101" w:right="256" w:firstLine="559"/>
        <w:jc w:val="both"/>
        <w:rPr>
          <w:sz w:val="28"/>
        </w:rPr>
      </w:pPr>
      <w:r>
        <w:rPr>
          <w:spacing w:val="-6"/>
          <w:sz w:val="28"/>
        </w:rPr>
        <w:t>遇有物料泄漏时，视不同物料性质，泄漏形成的液体可以用</w:t>
      </w:r>
      <w:r>
        <w:rPr>
          <w:spacing w:val="-1"/>
          <w:sz w:val="28"/>
        </w:rPr>
        <w:t>泡沫、沙土等覆盖，防止挥发出易燃或有毒有害蒸气，可用雾状水稀</w:t>
      </w:r>
      <w:r>
        <w:rPr>
          <w:sz w:val="28"/>
        </w:rPr>
        <w:t>释空气中的易燃气体，但应避免高压直流水冲击液体泄漏物。收集后</w:t>
      </w:r>
      <w:r>
        <w:rPr>
          <w:spacing w:val="-3"/>
          <w:sz w:val="28"/>
        </w:rPr>
        <w:t>剩余的少量残液，用干砂土、水泥粉、干粉等吸附处置。</w:t>
      </w:r>
    </w:p>
    <w:p>
      <w:pPr>
        <w:pStyle w:val="ListParagraph"/>
        <w:numPr>
          <w:ilvl w:val="0"/>
          <w:numId w:val="37"/>
        </w:numPr>
        <w:tabs>
          <w:tab w:pos="1363" w:val="left" w:leader="none"/>
        </w:tabs>
        <w:spacing w:line="364" w:lineRule="auto" w:before="0" w:after="0"/>
        <w:ind w:left="101" w:right="253" w:firstLine="559"/>
        <w:jc w:val="both"/>
        <w:rPr>
          <w:sz w:val="28"/>
        </w:rPr>
      </w:pPr>
      <w:r>
        <w:rPr>
          <w:spacing w:val="-6"/>
          <w:sz w:val="28"/>
        </w:rPr>
        <w:t>罐区设置围堰，将泄漏物料切换到处理系统，回收利用。检</w:t>
      </w:r>
      <w:r>
        <w:rPr>
          <w:spacing w:val="-1"/>
          <w:sz w:val="28"/>
        </w:rPr>
        <w:t>查事故区污、雨排水阀，确认处于关闭状态，避免泄漏物进入下水道</w:t>
      </w:r>
      <w:r>
        <w:rPr>
          <w:spacing w:val="-2"/>
          <w:sz w:val="28"/>
        </w:rPr>
        <w:t>等限制性空间。</w:t>
      </w:r>
    </w:p>
    <w:p>
      <w:pPr>
        <w:spacing w:after="0" w:line="364" w:lineRule="auto"/>
        <w:jc w:val="both"/>
        <w:rPr>
          <w:sz w:val="28"/>
        </w:rPr>
        <w:sectPr>
          <w:footerReference w:type="default" r:id="rId45"/>
          <w:pgSz w:w="11910" w:h="16840"/>
          <w:pgMar w:footer="984" w:header="0" w:top="1580" w:bottom="1180" w:left="1600" w:right="1440"/>
          <w:pgNumType w:start="54"/>
        </w:sectPr>
      </w:pPr>
    </w:p>
    <w:p>
      <w:pPr>
        <w:pStyle w:val="ListParagraph"/>
        <w:numPr>
          <w:ilvl w:val="0"/>
          <w:numId w:val="37"/>
        </w:numPr>
        <w:tabs>
          <w:tab w:pos="1363" w:val="left" w:leader="none"/>
        </w:tabs>
        <w:spacing w:line="364" w:lineRule="auto" w:before="102" w:after="0"/>
        <w:ind w:left="101" w:right="256" w:firstLine="559"/>
        <w:jc w:val="left"/>
        <w:rPr>
          <w:sz w:val="28"/>
        </w:rPr>
      </w:pPr>
      <w:r>
        <w:rPr>
          <w:spacing w:val="-5"/>
          <w:sz w:val="28"/>
        </w:rPr>
        <w:t>检查封堵防护堤的泄漏孔洞，用砂土封堵，防止污水与受污</w:t>
      </w:r>
      <w:r>
        <w:rPr>
          <w:spacing w:val="-4"/>
          <w:sz w:val="28"/>
        </w:rPr>
        <w:t>染消防水外溢。</w:t>
      </w:r>
    </w:p>
    <w:p>
      <w:pPr>
        <w:pStyle w:val="ListParagraph"/>
        <w:numPr>
          <w:ilvl w:val="0"/>
          <w:numId w:val="37"/>
        </w:numPr>
        <w:tabs>
          <w:tab w:pos="1513" w:val="left" w:leader="none"/>
        </w:tabs>
        <w:spacing w:line="364" w:lineRule="auto" w:before="0" w:after="0"/>
        <w:ind w:left="101" w:right="256" w:firstLine="559"/>
        <w:jc w:val="left"/>
        <w:rPr>
          <w:sz w:val="28"/>
        </w:rPr>
      </w:pPr>
      <w:r>
        <w:rPr>
          <w:sz w:val="28"/>
        </w:rPr>
        <w:t>雨水沟、废水装置设废水收集设施，杜绝事故废水排入外环境。</w:t>
      </w:r>
    </w:p>
    <w:p>
      <w:pPr>
        <w:pStyle w:val="ListParagraph"/>
        <w:numPr>
          <w:ilvl w:val="0"/>
          <w:numId w:val="37"/>
        </w:numPr>
        <w:tabs>
          <w:tab w:pos="1513" w:val="left" w:leader="none"/>
        </w:tabs>
        <w:spacing w:line="364" w:lineRule="auto" w:before="0" w:after="0"/>
        <w:ind w:left="101" w:right="256" w:firstLine="559"/>
        <w:jc w:val="both"/>
        <w:rPr>
          <w:sz w:val="28"/>
        </w:rPr>
      </w:pPr>
      <w:r>
        <w:rPr>
          <w:sz w:val="28"/>
        </w:rPr>
        <w:t>事故产生的物料泄漏、火灾发生时消防废水收集，排入厂区内的事故水池中。事故水池内的水经检测后，如水质无污染，则排</w:t>
      </w:r>
      <w:r>
        <w:rPr>
          <w:spacing w:val="-3"/>
          <w:sz w:val="28"/>
        </w:rPr>
        <w:t>入雨水系统；如水质受到污染 ，必须委托其他单位处理。</w:t>
      </w:r>
    </w:p>
    <w:p>
      <w:pPr>
        <w:pStyle w:val="ListParagraph"/>
        <w:numPr>
          <w:ilvl w:val="0"/>
          <w:numId w:val="37"/>
        </w:numPr>
        <w:tabs>
          <w:tab w:pos="1513" w:val="left" w:leader="none"/>
        </w:tabs>
        <w:spacing w:line="364" w:lineRule="auto" w:before="0" w:after="0"/>
        <w:ind w:left="101" w:right="256" w:firstLine="559"/>
        <w:jc w:val="left"/>
        <w:rPr>
          <w:sz w:val="28"/>
        </w:rPr>
      </w:pPr>
      <w:r>
        <w:rPr>
          <w:sz w:val="28"/>
        </w:rPr>
        <w:t>若事件区域离临近周边企业较近，有可能影响周边企业时</w:t>
      </w:r>
      <w:r>
        <w:rPr>
          <w:spacing w:val="-3"/>
          <w:sz w:val="28"/>
        </w:rPr>
        <w:t>及时通报周边企业，告知作好相应的防范准备。</w:t>
      </w:r>
    </w:p>
    <w:p>
      <w:pPr>
        <w:pStyle w:val="BodyText"/>
        <w:spacing w:line="358" w:lineRule="exact"/>
        <w:ind w:left="660"/>
      </w:pPr>
      <w:r>
        <w:rPr/>
        <w:t>2、生产装置突发环境事件的应急处置措施</w:t>
      </w:r>
    </w:p>
    <w:p>
      <w:pPr>
        <w:pStyle w:val="ListParagraph"/>
        <w:numPr>
          <w:ilvl w:val="0"/>
          <w:numId w:val="38"/>
        </w:numPr>
        <w:tabs>
          <w:tab w:pos="1363" w:val="left" w:leader="none"/>
        </w:tabs>
        <w:spacing w:line="240" w:lineRule="auto" w:before="180" w:after="0"/>
        <w:ind w:left="1362" w:right="0" w:hanging="703"/>
        <w:jc w:val="left"/>
        <w:rPr>
          <w:sz w:val="28"/>
        </w:rPr>
      </w:pPr>
      <w:r>
        <w:rPr>
          <w:spacing w:val="-3"/>
          <w:sz w:val="28"/>
        </w:rPr>
        <w:t>确认起火、泄漏地点或位置；</w:t>
      </w:r>
    </w:p>
    <w:p>
      <w:pPr>
        <w:pStyle w:val="ListParagraph"/>
        <w:numPr>
          <w:ilvl w:val="0"/>
          <w:numId w:val="38"/>
        </w:numPr>
        <w:tabs>
          <w:tab w:pos="1363" w:val="left" w:leader="none"/>
        </w:tabs>
        <w:spacing w:line="240" w:lineRule="auto" w:before="186" w:after="0"/>
        <w:ind w:left="1362" w:right="0" w:hanging="703"/>
        <w:jc w:val="left"/>
        <w:rPr>
          <w:sz w:val="28"/>
        </w:rPr>
      </w:pPr>
      <w:r>
        <w:rPr>
          <w:spacing w:val="-2"/>
          <w:sz w:val="28"/>
        </w:rPr>
        <w:t>按报告程序报警；</w:t>
      </w:r>
    </w:p>
    <w:p>
      <w:pPr>
        <w:pStyle w:val="ListParagraph"/>
        <w:numPr>
          <w:ilvl w:val="0"/>
          <w:numId w:val="38"/>
        </w:numPr>
        <w:tabs>
          <w:tab w:pos="1363" w:val="left" w:leader="none"/>
        </w:tabs>
        <w:spacing w:line="240" w:lineRule="auto" w:before="186" w:after="0"/>
        <w:ind w:left="1362" w:right="0" w:hanging="703"/>
        <w:jc w:val="left"/>
        <w:rPr>
          <w:sz w:val="28"/>
        </w:rPr>
      </w:pPr>
      <w:r>
        <w:rPr>
          <w:spacing w:val="-3"/>
          <w:sz w:val="28"/>
        </w:rPr>
        <w:t>就地使用现场与附近灭火器扑救；</w:t>
      </w:r>
    </w:p>
    <w:p>
      <w:pPr>
        <w:pStyle w:val="ListParagraph"/>
        <w:numPr>
          <w:ilvl w:val="0"/>
          <w:numId w:val="38"/>
        </w:numPr>
        <w:tabs>
          <w:tab w:pos="1363" w:val="left" w:leader="none"/>
        </w:tabs>
        <w:spacing w:line="364" w:lineRule="auto" w:before="186" w:after="0"/>
        <w:ind w:left="101" w:right="253" w:firstLine="559"/>
        <w:jc w:val="left"/>
        <w:rPr>
          <w:sz w:val="28"/>
        </w:rPr>
      </w:pPr>
      <w:r>
        <w:rPr>
          <w:spacing w:val="-6"/>
          <w:sz w:val="28"/>
        </w:rPr>
        <w:t>转移重要物资、资料或易燃、可燃物资，保持消防救援通道畅通；</w:t>
      </w:r>
    </w:p>
    <w:p>
      <w:pPr>
        <w:pStyle w:val="ListParagraph"/>
        <w:numPr>
          <w:ilvl w:val="0"/>
          <w:numId w:val="38"/>
        </w:numPr>
        <w:tabs>
          <w:tab w:pos="1363" w:val="left" w:leader="none"/>
        </w:tabs>
        <w:spacing w:line="364" w:lineRule="auto" w:before="0" w:after="0"/>
        <w:ind w:left="101" w:right="256" w:firstLine="559"/>
        <w:jc w:val="left"/>
        <w:rPr>
          <w:sz w:val="28"/>
        </w:rPr>
      </w:pPr>
      <w:r>
        <w:rPr>
          <w:spacing w:val="-6"/>
          <w:sz w:val="28"/>
        </w:rPr>
        <w:t>如有人在建筑物内时，须在安全的条件下组织搜救或通知消</w:t>
      </w:r>
      <w:r>
        <w:rPr>
          <w:spacing w:val="-3"/>
          <w:sz w:val="28"/>
        </w:rPr>
        <w:t>防人员搜救，遇有受伤，应及时抢救伤员；</w:t>
      </w:r>
    </w:p>
    <w:p>
      <w:pPr>
        <w:pStyle w:val="ListParagraph"/>
        <w:numPr>
          <w:ilvl w:val="0"/>
          <w:numId w:val="38"/>
        </w:numPr>
        <w:tabs>
          <w:tab w:pos="1363" w:val="left" w:leader="none"/>
        </w:tabs>
        <w:spacing w:line="364" w:lineRule="auto" w:before="0" w:after="0"/>
        <w:ind w:left="101" w:right="256" w:firstLine="559"/>
        <w:jc w:val="both"/>
        <w:rPr>
          <w:sz w:val="28"/>
        </w:rPr>
      </w:pPr>
      <w:r>
        <w:rPr>
          <w:spacing w:val="-5"/>
          <w:sz w:val="28"/>
        </w:rPr>
        <w:t>遇有物料泄漏时，视不同物料性质，泄漏形成的液体可以用</w:t>
      </w:r>
      <w:r>
        <w:rPr>
          <w:spacing w:val="-1"/>
          <w:sz w:val="28"/>
        </w:rPr>
        <w:t>泡沫沙土等覆盖，防止挥发出易燃或有毒有害蒸气，可用雾状水稀释</w:t>
      </w:r>
      <w:r>
        <w:rPr>
          <w:sz w:val="28"/>
        </w:rPr>
        <w:t>空气中的易燃气体，但应避免高压直流水冲击液体泄漏物。收集后剩</w:t>
      </w:r>
      <w:r>
        <w:rPr>
          <w:spacing w:val="-3"/>
          <w:sz w:val="28"/>
        </w:rPr>
        <w:t>余的少量残液，用干砂土、水泥粉、干粉等吸附处置。</w:t>
      </w:r>
    </w:p>
    <w:p>
      <w:pPr>
        <w:pStyle w:val="ListParagraph"/>
        <w:numPr>
          <w:ilvl w:val="0"/>
          <w:numId w:val="38"/>
        </w:numPr>
        <w:tabs>
          <w:tab w:pos="1363" w:val="left" w:leader="none"/>
        </w:tabs>
        <w:spacing w:line="364" w:lineRule="auto" w:before="0" w:after="0"/>
        <w:ind w:left="101" w:right="256" w:firstLine="559"/>
        <w:jc w:val="both"/>
        <w:rPr>
          <w:sz w:val="28"/>
        </w:rPr>
      </w:pPr>
      <w:r>
        <w:rPr>
          <w:spacing w:val="-6"/>
          <w:sz w:val="28"/>
        </w:rPr>
        <w:t>事故产生的物料泄漏、火灾发生时消防废水收集，排入厂区</w:t>
      </w:r>
      <w:r>
        <w:rPr>
          <w:sz w:val="28"/>
        </w:rPr>
        <w:t>内的事故水池中。事故水池内的水经检测后，如水质无污染，则排入雨水系统；如水质受到污染，必须委托其他单位处理。防止重大事故</w:t>
      </w:r>
      <w:r>
        <w:rPr>
          <w:spacing w:val="-3"/>
          <w:sz w:val="28"/>
        </w:rPr>
        <w:t>泄漏物料和污染消防水造成的环境污染；</w:t>
      </w:r>
    </w:p>
    <w:p>
      <w:pPr>
        <w:spacing w:after="0" w:line="364" w:lineRule="auto"/>
        <w:jc w:val="both"/>
        <w:rPr>
          <w:sz w:val="28"/>
        </w:rPr>
        <w:sectPr>
          <w:pgSz w:w="11910" w:h="16840"/>
          <w:pgMar w:header="0" w:footer="984" w:top="1580" w:bottom="1180" w:left="1600" w:right="1440"/>
        </w:sectPr>
      </w:pPr>
    </w:p>
    <w:p>
      <w:pPr>
        <w:pStyle w:val="ListParagraph"/>
        <w:numPr>
          <w:ilvl w:val="0"/>
          <w:numId w:val="38"/>
        </w:numPr>
        <w:tabs>
          <w:tab w:pos="1363" w:val="left" w:leader="none"/>
        </w:tabs>
        <w:spacing w:line="364" w:lineRule="auto" w:before="102" w:after="0"/>
        <w:ind w:left="101" w:right="256" w:firstLine="559"/>
        <w:jc w:val="both"/>
        <w:rPr>
          <w:sz w:val="28"/>
        </w:rPr>
      </w:pPr>
      <w:r>
        <w:rPr>
          <w:spacing w:val="-5"/>
          <w:sz w:val="28"/>
        </w:rPr>
        <w:t>生产废气收集、处理设备设施出现故障时，相关生产工序降</w:t>
      </w:r>
      <w:r>
        <w:rPr>
          <w:spacing w:val="-1"/>
          <w:sz w:val="28"/>
        </w:rPr>
        <w:t>量或停车，采取切实可行的抢修措施，避免或最大限度地减少未经处</w:t>
      </w:r>
      <w:r>
        <w:rPr>
          <w:spacing w:val="-3"/>
          <w:sz w:val="28"/>
        </w:rPr>
        <w:t>理的废气排入环境。</w:t>
      </w:r>
    </w:p>
    <w:p>
      <w:pPr>
        <w:pStyle w:val="ListParagraph"/>
        <w:numPr>
          <w:ilvl w:val="1"/>
          <w:numId w:val="9"/>
        </w:numPr>
        <w:tabs>
          <w:tab w:pos="597" w:val="left" w:leader="none"/>
        </w:tabs>
        <w:spacing w:line="357" w:lineRule="exact" w:before="0" w:after="0"/>
        <w:ind w:left="596" w:right="0" w:hanging="496"/>
        <w:jc w:val="both"/>
        <w:rPr>
          <w:b/>
          <w:sz w:val="28"/>
        </w:rPr>
      </w:pPr>
      <w:bookmarkStart w:name="_TOC_250017" w:id="51"/>
      <w:bookmarkEnd w:id="51"/>
      <w:r>
        <w:rPr>
          <w:b/>
          <w:sz w:val="28"/>
        </w:rPr>
        <w:t>处置注意事项</w:t>
      </w:r>
    </w:p>
    <w:p>
      <w:pPr>
        <w:pStyle w:val="ListParagraph"/>
        <w:numPr>
          <w:ilvl w:val="0"/>
          <w:numId w:val="39"/>
        </w:numPr>
        <w:tabs>
          <w:tab w:pos="1363" w:val="left" w:leader="none"/>
        </w:tabs>
        <w:spacing w:line="364" w:lineRule="auto" w:before="186" w:after="0"/>
        <w:ind w:left="101" w:right="256" w:firstLine="559"/>
        <w:jc w:val="left"/>
        <w:rPr>
          <w:sz w:val="28"/>
        </w:rPr>
      </w:pPr>
      <w:r>
        <w:rPr>
          <w:spacing w:val="-6"/>
          <w:sz w:val="28"/>
        </w:rPr>
        <w:t>现场应划定警戒区域，派人员警戒阻止无关车辆、人员进入</w:t>
      </w:r>
      <w:r>
        <w:rPr>
          <w:sz w:val="28"/>
        </w:rPr>
        <w:t>现场。</w:t>
      </w:r>
    </w:p>
    <w:p>
      <w:pPr>
        <w:pStyle w:val="ListParagraph"/>
        <w:numPr>
          <w:ilvl w:val="0"/>
          <w:numId w:val="39"/>
        </w:numPr>
        <w:tabs>
          <w:tab w:pos="1363" w:val="left" w:leader="none"/>
        </w:tabs>
        <w:spacing w:line="355" w:lineRule="exact" w:before="0" w:after="0"/>
        <w:ind w:left="1362" w:right="0" w:hanging="703"/>
        <w:jc w:val="left"/>
        <w:rPr>
          <w:sz w:val="28"/>
        </w:rPr>
      </w:pPr>
      <w:r>
        <w:rPr>
          <w:spacing w:val="-3"/>
          <w:sz w:val="28"/>
        </w:rPr>
        <w:t>切断泄漏物及其挥发气体波及场所内电源，控制一切火源。</w:t>
      </w:r>
    </w:p>
    <w:p>
      <w:pPr>
        <w:pStyle w:val="ListParagraph"/>
        <w:numPr>
          <w:ilvl w:val="0"/>
          <w:numId w:val="39"/>
        </w:numPr>
        <w:tabs>
          <w:tab w:pos="1363" w:val="left" w:leader="none"/>
        </w:tabs>
        <w:spacing w:line="364" w:lineRule="auto" w:before="186" w:after="0"/>
        <w:ind w:left="101" w:right="119" w:firstLine="559"/>
        <w:jc w:val="left"/>
        <w:rPr>
          <w:sz w:val="28"/>
        </w:rPr>
      </w:pPr>
      <w:r>
        <w:rPr>
          <w:spacing w:val="-4"/>
          <w:sz w:val="28"/>
        </w:rPr>
        <w:t>现场人员必须配戴相应有效的呼吸防护器具；灭火抢险时应</w:t>
      </w:r>
      <w:r>
        <w:rPr>
          <w:spacing w:val="-7"/>
          <w:sz w:val="28"/>
        </w:rPr>
        <w:t>视现场情况和人员力量、设施，按有利于灭火和控制火势蔓延的原则， </w:t>
      </w:r>
      <w:r>
        <w:rPr>
          <w:spacing w:val="-2"/>
          <w:sz w:val="28"/>
        </w:rPr>
        <w:t>灵活实施具体灭火抢险措施；迅速切断废气污染源，减少或避免其直</w:t>
      </w:r>
      <w:r>
        <w:rPr>
          <w:spacing w:val="-3"/>
          <w:sz w:val="28"/>
        </w:rPr>
        <w:t>排入大气；采取重点突破、排除险情、分割包围、速战速决的战术。</w:t>
      </w:r>
    </w:p>
    <w:p>
      <w:pPr>
        <w:pStyle w:val="ListParagraph"/>
        <w:numPr>
          <w:ilvl w:val="0"/>
          <w:numId w:val="39"/>
        </w:numPr>
        <w:tabs>
          <w:tab w:pos="1363" w:val="left" w:leader="none"/>
        </w:tabs>
        <w:spacing w:line="364" w:lineRule="auto" w:before="0" w:after="0"/>
        <w:ind w:left="101" w:right="256" w:firstLine="559"/>
        <w:jc w:val="left"/>
        <w:rPr>
          <w:sz w:val="28"/>
        </w:rPr>
      </w:pPr>
      <w:r>
        <w:rPr>
          <w:spacing w:val="-5"/>
          <w:sz w:val="28"/>
        </w:rPr>
        <w:t>救援人员应占领上风或侧风阵地，有针对性地采取自我保护</w:t>
      </w:r>
      <w:r>
        <w:rPr>
          <w:spacing w:val="-3"/>
          <w:sz w:val="28"/>
        </w:rPr>
        <w:t>措施，如佩带防火、防毒面具，穿戴防火隔热或防酸服等。</w:t>
      </w:r>
    </w:p>
    <w:p>
      <w:pPr>
        <w:pStyle w:val="ListParagraph"/>
        <w:numPr>
          <w:ilvl w:val="0"/>
          <w:numId w:val="39"/>
        </w:numPr>
        <w:tabs>
          <w:tab w:pos="1363" w:val="left" w:leader="none"/>
        </w:tabs>
        <w:spacing w:line="364" w:lineRule="auto" w:before="0" w:after="0"/>
        <w:ind w:left="101" w:right="256" w:firstLine="559"/>
        <w:jc w:val="both"/>
        <w:rPr>
          <w:sz w:val="28"/>
        </w:rPr>
      </w:pPr>
      <w:r>
        <w:rPr>
          <w:spacing w:val="-4"/>
          <w:sz w:val="28"/>
        </w:rPr>
        <w:t>火灾时正确选择最合适的灭火剂和灭火方法。现场烟雾较 </w:t>
      </w:r>
      <w:r>
        <w:rPr>
          <w:spacing w:val="-2"/>
          <w:sz w:val="28"/>
        </w:rPr>
        <w:t>大时，视情用喷雾水稀释；在无把握扑救时注意加强对设备和建筑物</w:t>
      </w:r>
      <w:r>
        <w:rPr>
          <w:spacing w:val="-3"/>
          <w:sz w:val="28"/>
        </w:rPr>
        <w:t>的冷却，控制火势等待增援。</w:t>
      </w:r>
    </w:p>
    <w:p>
      <w:pPr>
        <w:pStyle w:val="ListParagraph"/>
        <w:numPr>
          <w:ilvl w:val="0"/>
          <w:numId w:val="39"/>
        </w:numPr>
        <w:tabs>
          <w:tab w:pos="1363" w:val="left" w:leader="none"/>
        </w:tabs>
        <w:spacing w:line="364" w:lineRule="auto" w:before="0" w:after="0"/>
        <w:ind w:left="101" w:right="256" w:firstLine="559"/>
        <w:jc w:val="both"/>
        <w:rPr>
          <w:sz w:val="28"/>
        </w:rPr>
      </w:pPr>
      <w:r>
        <w:rPr>
          <w:spacing w:val="-5"/>
          <w:sz w:val="28"/>
        </w:rPr>
        <w:t>在有可能发生对人身重大伤害时，及时撤离现场人员；有影</w:t>
      </w:r>
      <w:r>
        <w:rPr>
          <w:spacing w:val="-1"/>
          <w:sz w:val="28"/>
        </w:rPr>
        <w:t>响邻近企业时，及时通知，要求采取相应措施；需要时，向邻近企业</w:t>
      </w:r>
      <w:r>
        <w:rPr>
          <w:spacing w:val="-3"/>
          <w:sz w:val="28"/>
        </w:rPr>
        <w:t>请求设备、器材和技术支援。</w:t>
      </w:r>
    </w:p>
    <w:p>
      <w:pPr>
        <w:pStyle w:val="ListParagraph"/>
        <w:numPr>
          <w:ilvl w:val="0"/>
          <w:numId w:val="39"/>
        </w:numPr>
        <w:tabs>
          <w:tab w:pos="1363" w:val="left" w:leader="none"/>
        </w:tabs>
        <w:spacing w:line="357" w:lineRule="exact" w:before="0" w:after="0"/>
        <w:ind w:left="1362" w:right="0" w:hanging="703"/>
        <w:jc w:val="left"/>
        <w:rPr>
          <w:sz w:val="28"/>
        </w:rPr>
      </w:pPr>
      <w:r>
        <w:rPr>
          <w:spacing w:val="-2"/>
          <w:sz w:val="28"/>
        </w:rPr>
        <w:t>现场清理泄漏物料时：</w:t>
      </w:r>
    </w:p>
    <w:p>
      <w:pPr>
        <w:pStyle w:val="BodyText"/>
        <w:spacing w:before="182"/>
        <w:ind w:left="660"/>
      </w:pPr>
      <w:r>
        <w:rPr/>
        <w:t>①将冲洗的污水应排入污水收集系统进行后续处理；</w:t>
      </w:r>
    </w:p>
    <w:p>
      <w:pPr>
        <w:pStyle w:val="BodyText"/>
        <w:spacing w:line="364" w:lineRule="auto" w:before="186"/>
        <w:ind w:left="101" w:right="256" w:firstLine="559"/>
      </w:pPr>
      <w:r>
        <w:rPr/>
        <w:t>②清理时可咨询有关专家，以决定安全和最佳方法后进行，必要时由具备资质的清洗机构清洗。</w:t>
      </w:r>
    </w:p>
    <w:p>
      <w:pPr>
        <w:pStyle w:val="ListParagraph"/>
        <w:numPr>
          <w:ilvl w:val="1"/>
          <w:numId w:val="9"/>
        </w:numPr>
        <w:tabs>
          <w:tab w:pos="597" w:val="left" w:leader="none"/>
        </w:tabs>
        <w:spacing w:line="364" w:lineRule="auto" w:before="0" w:after="0"/>
        <w:ind w:left="382" w:right="6378" w:hanging="281"/>
        <w:jc w:val="left"/>
        <w:rPr>
          <w:sz w:val="28"/>
        </w:rPr>
      </w:pPr>
      <w:r>
        <w:rPr>
          <w:b/>
          <w:sz w:val="28"/>
        </w:rPr>
        <w:t>危险区的隔离 </w:t>
      </w:r>
      <w:r>
        <w:rPr>
          <w:sz w:val="28"/>
        </w:rPr>
        <w:t>1</w:t>
      </w:r>
      <w:r>
        <w:rPr>
          <w:spacing w:val="-4"/>
          <w:sz w:val="28"/>
        </w:rPr>
        <w:t>、区域界定原则</w:t>
      </w:r>
    </w:p>
    <w:p>
      <w:pPr>
        <w:spacing w:after="0" w:line="364" w:lineRule="auto"/>
        <w:jc w:val="left"/>
        <w:rPr>
          <w:sz w:val="28"/>
        </w:rPr>
        <w:sectPr>
          <w:pgSz w:w="11910" w:h="16840"/>
          <w:pgMar w:header="0" w:footer="984" w:top="1580" w:bottom="1180" w:left="1600" w:right="1440"/>
        </w:sectPr>
      </w:pPr>
    </w:p>
    <w:p>
      <w:pPr>
        <w:pStyle w:val="BodyText"/>
        <w:spacing w:line="364" w:lineRule="auto" w:before="102"/>
        <w:ind w:left="101" w:right="256" w:firstLine="559"/>
        <w:jc w:val="both"/>
      </w:pPr>
      <w:r>
        <w:rPr/>
        <w:t>依据可能发生事故的危险程度、危险级别进行界定。一般界定有有毒气体大量扩散时，可能造成扩散区域内中毒进而污染环境等危及安全生产、员工人身安全的区域为危险区。</w:t>
      </w:r>
    </w:p>
    <w:p>
      <w:pPr>
        <w:pStyle w:val="BodyText"/>
        <w:spacing w:line="357" w:lineRule="exact"/>
        <w:ind w:left="660"/>
      </w:pPr>
      <w:r>
        <w:rPr/>
        <w:t>2、区域划分</w:t>
      </w:r>
    </w:p>
    <w:p>
      <w:pPr>
        <w:pStyle w:val="BodyText"/>
        <w:spacing w:before="186"/>
        <w:ind w:left="660"/>
      </w:pPr>
      <w:r>
        <w:rPr/>
        <w:t>根据事故类型进行区域划分</w:t>
      </w:r>
    </w:p>
    <w:p>
      <w:pPr>
        <w:pStyle w:val="BodyText"/>
        <w:spacing w:before="186"/>
        <w:ind w:left="660"/>
        <w:jc w:val="both"/>
      </w:pPr>
      <w:r>
        <w:rPr/>
        <w:t>① 中心区：</w:t>
      </w:r>
    </w:p>
    <w:p>
      <w:pPr>
        <w:pStyle w:val="BodyText"/>
        <w:spacing w:line="364" w:lineRule="auto" w:before="184"/>
        <w:ind w:left="101" w:right="256" w:firstLine="559"/>
        <w:jc w:val="both"/>
      </w:pPr>
      <w:r>
        <w:rPr/>
        <w:t>该区域内火势、有中毒伤亡等危险，故中心区人员应佩戴安全防护用品和防毒用品，现场救援时，应切断电源、事故源，采取措施降低空气中化学品含量，封闭现场，非操作人员疏散撤离现场并清点人数，周围设置明显警戒。</w:t>
      </w:r>
    </w:p>
    <w:p>
      <w:pPr>
        <w:pStyle w:val="BodyText"/>
        <w:spacing w:line="357" w:lineRule="exact"/>
        <w:ind w:left="660"/>
        <w:jc w:val="both"/>
      </w:pPr>
      <w:r>
        <w:rPr/>
        <w:t>② 事故涉及区域：</w:t>
      </w:r>
    </w:p>
    <w:p>
      <w:pPr>
        <w:pStyle w:val="BodyText"/>
        <w:spacing w:line="364" w:lineRule="auto" w:before="186"/>
        <w:ind w:left="101" w:right="63" w:firstLine="559"/>
      </w:pPr>
      <w:r>
        <w:rPr/>
        <w:t>此区域内有发生人员中毒、伤害危险，重点应做好安全防护工作， 密切监视火势、泄漏物情况，根据情况做好人员疏散工作。</w:t>
      </w:r>
    </w:p>
    <w:p>
      <w:pPr>
        <w:pStyle w:val="BodyText"/>
        <w:spacing w:line="358" w:lineRule="exact"/>
        <w:ind w:left="660"/>
      </w:pPr>
      <w:r>
        <w:rPr/>
        <w:t>③ 受影响区：事故涉及区以外区域</w:t>
      </w:r>
    </w:p>
    <w:p>
      <w:pPr>
        <w:pStyle w:val="BodyText"/>
        <w:spacing w:line="364" w:lineRule="auto" w:before="186"/>
        <w:ind w:left="101" w:right="256" w:firstLine="559"/>
      </w:pPr>
      <w:r>
        <w:rPr/>
        <w:t>此区域距事发中心区较远，救援工作重点应放在安全防护知识宣传、防护指导，做好基本应急准备。</w:t>
      </w:r>
    </w:p>
    <w:p>
      <w:pPr>
        <w:pStyle w:val="ListParagraph"/>
        <w:numPr>
          <w:ilvl w:val="1"/>
          <w:numId w:val="9"/>
        </w:numPr>
        <w:tabs>
          <w:tab w:pos="597" w:val="left" w:leader="none"/>
        </w:tabs>
        <w:spacing w:line="358" w:lineRule="exact" w:before="0" w:after="0"/>
        <w:ind w:left="596" w:right="0" w:hanging="496"/>
        <w:jc w:val="left"/>
        <w:rPr>
          <w:b/>
          <w:sz w:val="28"/>
        </w:rPr>
      </w:pPr>
      <w:bookmarkStart w:name="_TOC_250016" w:id="52"/>
      <w:bookmarkEnd w:id="52"/>
      <w:r>
        <w:rPr>
          <w:b/>
          <w:sz w:val="28"/>
        </w:rPr>
        <w:t>事件扩大的措施</w:t>
      </w:r>
    </w:p>
    <w:p>
      <w:pPr>
        <w:pStyle w:val="ListParagraph"/>
        <w:numPr>
          <w:ilvl w:val="2"/>
          <w:numId w:val="9"/>
        </w:numPr>
        <w:tabs>
          <w:tab w:pos="1158" w:val="left" w:leader="none"/>
        </w:tabs>
        <w:spacing w:line="240" w:lineRule="auto" w:before="186" w:after="0"/>
        <w:ind w:left="1157" w:right="0" w:hanging="776"/>
        <w:jc w:val="left"/>
        <w:rPr>
          <w:b/>
          <w:sz w:val="28"/>
        </w:rPr>
      </w:pPr>
      <w:r>
        <w:rPr>
          <w:b/>
          <w:sz w:val="28"/>
        </w:rPr>
        <w:t>控制事件扩大的措施</w:t>
      </w:r>
    </w:p>
    <w:p>
      <w:pPr>
        <w:pStyle w:val="BodyText"/>
        <w:spacing w:before="186"/>
        <w:ind w:left="660"/>
      </w:pPr>
      <w:r>
        <w:rPr/>
        <w:t>1、根据事故的危险性，有针对性的制定详细实施的措施；</w:t>
      </w:r>
    </w:p>
    <w:p>
      <w:pPr>
        <w:pStyle w:val="BodyText"/>
        <w:spacing w:before="186"/>
        <w:ind w:left="660"/>
      </w:pPr>
      <w:r>
        <w:rPr/>
        <w:t>2、对可能发生扩大的事故进行预测和预防；</w:t>
      </w:r>
    </w:p>
    <w:p>
      <w:pPr>
        <w:pStyle w:val="BodyText"/>
        <w:spacing w:before="186"/>
        <w:ind w:left="660"/>
      </w:pPr>
      <w:r>
        <w:rPr/>
        <w:t>3、对事故应急预案进行调整及修改；</w:t>
      </w:r>
    </w:p>
    <w:p>
      <w:pPr>
        <w:pStyle w:val="BodyText"/>
        <w:spacing w:before="186"/>
        <w:ind w:left="660"/>
      </w:pPr>
      <w:r>
        <w:rPr/>
        <w:t>4、完善撤离现场的路线及通讯。</w:t>
      </w:r>
    </w:p>
    <w:p>
      <w:pPr>
        <w:pStyle w:val="ListParagraph"/>
        <w:numPr>
          <w:ilvl w:val="2"/>
          <w:numId w:val="9"/>
        </w:numPr>
        <w:tabs>
          <w:tab w:pos="1158" w:val="left" w:leader="none"/>
        </w:tabs>
        <w:spacing w:line="240" w:lineRule="auto" w:before="186" w:after="0"/>
        <w:ind w:left="1157" w:right="0" w:hanging="776"/>
        <w:jc w:val="left"/>
        <w:rPr>
          <w:b/>
          <w:sz w:val="28"/>
        </w:rPr>
      </w:pPr>
      <w:r>
        <w:rPr>
          <w:b/>
          <w:sz w:val="28"/>
        </w:rPr>
        <w:t>事件可能扩大后的应急措施</w:t>
      </w:r>
    </w:p>
    <w:p>
      <w:pPr>
        <w:pStyle w:val="BodyText"/>
        <w:spacing w:line="364" w:lineRule="auto" w:before="186"/>
        <w:ind w:left="101" w:right="256" w:firstLine="559"/>
      </w:pPr>
      <w:r>
        <w:rPr/>
        <w:t>如发现事故有扩大的可能性，应急救援人员必须立即从事故现场撤离，向公司应急指挥中心汇报，由应急指挥中心实施紧急措施。由</w:t>
      </w:r>
    </w:p>
    <w:p>
      <w:pPr>
        <w:spacing w:after="0" w:line="364" w:lineRule="auto"/>
        <w:sectPr>
          <w:pgSz w:w="11910" w:h="16840"/>
          <w:pgMar w:header="0" w:footer="984" w:top="1580" w:bottom="1180" w:left="1600" w:right="1440"/>
        </w:sectPr>
      </w:pPr>
    </w:p>
    <w:p>
      <w:pPr>
        <w:pStyle w:val="BodyText"/>
        <w:spacing w:line="364" w:lineRule="auto" w:before="102"/>
        <w:ind w:left="101" w:right="258"/>
      </w:pPr>
      <w:r>
        <w:rPr/>
        <w:t>应急指挥中心上报滨海区应急指挥中心，请区应急指挥中心准备或批准启动区应急指挥程序。</w:t>
      </w:r>
    </w:p>
    <w:p>
      <w:pPr>
        <w:pStyle w:val="ListParagraph"/>
        <w:numPr>
          <w:ilvl w:val="1"/>
          <w:numId w:val="9"/>
        </w:numPr>
        <w:tabs>
          <w:tab w:pos="597" w:val="left" w:leader="none"/>
        </w:tabs>
        <w:spacing w:line="358" w:lineRule="exact" w:before="0" w:after="0"/>
        <w:ind w:left="596" w:right="0" w:hanging="496"/>
        <w:jc w:val="left"/>
        <w:rPr>
          <w:b/>
          <w:sz w:val="28"/>
        </w:rPr>
      </w:pPr>
      <w:bookmarkStart w:name="_TOC_250015" w:id="53"/>
      <w:bookmarkEnd w:id="53"/>
      <w:r>
        <w:rPr>
          <w:b/>
          <w:sz w:val="28"/>
        </w:rPr>
        <w:t>污染物处置措施</w:t>
      </w:r>
    </w:p>
    <w:p>
      <w:pPr>
        <w:pStyle w:val="BodyText"/>
        <w:spacing w:line="364" w:lineRule="auto" w:before="186"/>
        <w:ind w:left="101" w:right="203" w:firstLine="559"/>
      </w:pPr>
      <w:r>
        <w:rPr/>
        <w:t>1、将泄漏物、事故废水引入事故池，能回收利用的回收利用，不能回收利用的，委托其他单位处置。</w:t>
      </w:r>
    </w:p>
    <w:p>
      <w:pPr>
        <w:pStyle w:val="BodyText"/>
        <w:spacing w:line="364" w:lineRule="auto"/>
        <w:ind w:left="101" w:right="256" w:firstLine="559"/>
        <w:jc w:val="both"/>
      </w:pPr>
      <w:r>
        <w:rPr/>
        <w:t>2</w:t>
      </w:r>
      <w:r>
        <w:rPr>
          <w:spacing w:val="-6"/>
        </w:rPr>
        <w:t>、搞好“三废”回收管理。“三废”要尽量回收利用，严禁将污</w:t>
      </w:r>
      <w:r>
        <w:rPr>
          <w:spacing w:val="-1"/>
        </w:rPr>
        <w:t>油、残液排入明沟、河滩，地面污油要及时清理干净，防止雨季造成污染。</w:t>
      </w:r>
    </w:p>
    <w:p>
      <w:pPr>
        <w:pStyle w:val="BodyText"/>
        <w:spacing w:line="364" w:lineRule="auto"/>
        <w:ind w:left="101" w:right="220" w:firstLine="559"/>
      </w:pPr>
      <w:r>
        <w:rPr/>
        <w:t>3、公司组织人员对现场及波及到的其他场所的污染物进行处理， 一般污染物采取收集、清理、转移等方法对污染物进行处理。</w:t>
      </w:r>
    </w:p>
    <w:p>
      <w:pPr>
        <w:pStyle w:val="Heading1"/>
        <w:numPr>
          <w:ilvl w:val="0"/>
          <w:numId w:val="9"/>
        </w:numPr>
        <w:tabs>
          <w:tab w:pos="505" w:val="left" w:leader="none"/>
        </w:tabs>
        <w:spacing w:line="240" w:lineRule="auto" w:before="0" w:after="0"/>
        <w:ind w:left="504" w:right="0" w:hanging="404"/>
        <w:jc w:val="left"/>
      </w:pPr>
      <w:bookmarkStart w:name="_TOC_250014" w:id="54"/>
      <w:bookmarkEnd w:id="54"/>
      <w:r>
        <w:rPr/>
        <w:t>应急保障</w:t>
      </w:r>
    </w:p>
    <w:p>
      <w:pPr>
        <w:pStyle w:val="ListParagraph"/>
        <w:numPr>
          <w:ilvl w:val="1"/>
          <w:numId w:val="9"/>
        </w:numPr>
        <w:tabs>
          <w:tab w:pos="738" w:val="left" w:leader="none"/>
        </w:tabs>
        <w:spacing w:line="240" w:lineRule="auto" w:before="208" w:after="0"/>
        <w:ind w:left="737" w:right="0" w:hanging="637"/>
        <w:jc w:val="left"/>
        <w:rPr>
          <w:b/>
          <w:sz w:val="28"/>
        </w:rPr>
      </w:pPr>
      <w:bookmarkStart w:name="_TOC_250013" w:id="55"/>
      <w:bookmarkEnd w:id="55"/>
      <w:r>
        <w:rPr>
          <w:b/>
          <w:sz w:val="28"/>
        </w:rPr>
        <w:t>应急通讯保障</w:t>
      </w:r>
    </w:p>
    <w:p>
      <w:pPr>
        <w:pStyle w:val="BodyText"/>
        <w:spacing w:line="364" w:lineRule="auto" w:before="186"/>
        <w:ind w:left="101" w:right="116" w:firstLine="559"/>
      </w:pPr>
      <w:r>
        <w:rPr>
          <w:spacing w:val="-14"/>
        </w:rPr>
        <w:t>公司设立值班室，值班安排 </w:t>
      </w:r>
      <w:r>
        <w:rPr/>
        <w:t>24</w:t>
      </w:r>
      <w:r>
        <w:rPr>
          <w:spacing w:val="-15"/>
        </w:rPr>
        <w:t> 小时有效报警通讯电话，方便报警， </w:t>
      </w:r>
      <w:r>
        <w:rPr>
          <w:spacing w:val="-10"/>
        </w:rPr>
        <w:t>与有关方面及时取得联系。企业内部、外部应急联络通讯录见附件 </w:t>
      </w:r>
      <w:r>
        <w:rPr>
          <w:spacing w:val="-4"/>
        </w:rPr>
        <w:t>4</w:t>
      </w:r>
      <w:r>
        <w:rPr/>
        <w:t>。</w:t>
      </w:r>
    </w:p>
    <w:p>
      <w:pPr>
        <w:pStyle w:val="ListParagraph"/>
        <w:numPr>
          <w:ilvl w:val="1"/>
          <w:numId w:val="9"/>
        </w:numPr>
        <w:tabs>
          <w:tab w:pos="738" w:val="left" w:leader="none"/>
        </w:tabs>
        <w:spacing w:line="358" w:lineRule="exact" w:before="0" w:after="0"/>
        <w:ind w:left="737" w:right="0" w:hanging="637"/>
        <w:jc w:val="left"/>
        <w:rPr>
          <w:b/>
          <w:sz w:val="28"/>
        </w:rPr>
      </w:pPr>
      <w:bookmarkStart w:name="_TOC_250012" w:id="56"/>
      <w:bookmarkEnd w:id="56"/>
      <w:r>
        <w:rPr>
          <w:b/>
          <w:sz w:val="28"/>
        </w:rPr>
        <w:t>应急队伍保障</w:t>
      </w:r>
    </w:p>
    <w:p>
      <w:pPr>
        <w:pStyle w:val="BodyText"/>
        <w:spacing w:line="364" w:lineRule="auto" w:before="184"/>
        <w:ind w:left="101" w:right="253" w:firstLine="559"/>
        <w:jc w:val="both"/>
      </w:pPr>
      <w:r>
        <w:rPr/>
        <w:t>在指挥小组领导下，成立专业救援小组，应急指挥领导小组成员和应急救援小组成员有变动时，必须以文件形式明确替代人员。本公司建有义务消防队，由各车间生产骨干人员组成，厂内所有职工在紧</w:t>
      </w:r>
      <w:r>
        <w:rPr>
          <w:spacing w:val="-10"/>
        </w:rPr>
        <w:t>急情况下，均可以参与应急救援。距离滨海区消防大队 </w:t>
      </w:r>
      <w:r>
        <w:rPr>
          <w:spacing w:val="-8"/>
        </w:rPr>
        <w:t>2.5km</w:t>
      </w:r>
      <w:r>
        <w:rPr>
          <w:spacing w:val="-3"/>
        </w:rPr>
        <w:t>，可提供消防支援。</w:t>
      </w:r>
    </w:p>
    <w:p>
      <w:pPr>
        <w:pStyle w:val="ListParagraph"/>
        <w:numPr>
          <w:ilvl w:val="1"/>
          <w:numId w:val="9"/>
        </w:numPr>
        <w:tabs>
          <w:tab w:pos="738" w:val="left" w:leader="none"/>
        </w:tabs>
        <w:spacing w:line="356" w:lineRule="exact" w:before="0" w:after="0"/>
        <w:ind w:left="737" w:right="0" w:hanging="637"/>
        <w:jc w:val="both"/>
        <w:rPr>
          <w:b/>
          <w:sz w:val="28"/>
        </w:rPr>
      </w:pPr>
      <w:bookmarkStart w:name="_TOC_250011" w:id="57"/>
      <w:bookmarkEnd w:id="57"/>
      <w:r>
        <w:rPr>
          <w:b/>
          <w:sz w:val="28"/>
        </w:rPr>
        <w:t>应急物资保障</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应急设备的配置</w:t>
      </w:r>
    </w:p>
    <w:p>
      <w:pPr>
        <w:pStyle w:val="BodyText"/>
        <w:spacing w:line="364" w:lineRule="auto" w:before="186"/>
        <w:ind w:left="101" w:right="256" w:firstLine="559"/>
        <w:jc w:val="both"/>
      </w:pPr>
      <w:r>
        <w:rPr/>
        <w:t>生产区内各岗位应配备一定数量的应急设备和防护用品，以便在发生安全事故时，能快速、正确的投入到应急救援行动中，及时控制事态的发展。应急物资与装备见附件 5。</w:t>
      </w:r>
    </w:p>
    <w:p>
      <w:pPr>
        <w:spacing w:after="0" w:line="364" w:lineRule="auto"/>
        <w:jc w:val="both"/>
        <w:sectPr>
          <w:pgSz w:w="11910" w:h="16840"/>
          <w:pgMar w:header="0" w:footer="984" w:top="1580" w:bottom="1180" w:left="1600" w:right="1440"/>
        </w:sectPr>
      </w:pPr>
    </w:p>
    <w:p>
      <w:pPr>
        <w:pStyle w:val="ListParagraph"/>
        <w:numPr>
          <w:ilvl w:val="2"/>
          <w:numId w:val="9"/>
        </w:numPr>
        <w:tabs>
          <w:tab w:pos="1300" w:val="left" w:leader="none"/>
        </w:tabs>
        <w:spacing w:line="240" w:lineRule="auto" w:before="102" w:after="0"/>
        <w:ind w:left="1299" w:right="0" w:hanging="918"/>
        <w:jc w:val="left"/>
        <w:rPr>
          <w:b/>
          <w:sz w:val="28"/>
        </w:rPr>
      </w:pPr>
      <w:r>
        <w:rPr>
          <w:b/>
          <w:sz w:val="28"/>
        </w:rPr>
        <w:t>应急设备的管理</w:t>
      </w:r>
    </w:p>
    <w:p>
      <w:pPr>
        <w:pStyle w:val="BodyText"/>
        <w:spacing w:line="364" w:lineRule="auto" w:before="186"/>
        <w:ind w:left="101" w:right="119" w:firstLine="559"/>
      </w:pPr>
      <w:r>
        <w:rPr>
          <w:spacing w:val="-6"/>
        </w:rPr>
        <w:t>所有应急器材设专人管理,保证完好、有效、随时可用。建立应急</w:t>
      </w:r>
      <w:r>
        <w:rPr>
          <w:spacing w:val="-9"/>
        </w:rPr>
        <w:t>器材台帐，记录所有应急设备、器材的名称、型号、数量、所在位置、</w:t>
      </w:r>
      <w:r>
        <w:rPr>
          <w:spacing w:val="-6"/>
        </w:rPr>
        <w:t>检验日期等，应急状态下由应急指挥小组统一调配。</w:t>
      </w:r>
    </w:p>
    <w:p>
      <w:pPr>
        <w:pStyle w:val="ListParagraph"/>
        <w:numPr>
          <w:ilvl w:val="1"/>
          <w:numId w:val="9"/>
        </w:numPr>
        <w:tabs>
          <w:tab w:pos="738" w:val="left" w:leader="none"/>
        </w:tabs>
        <w:spacing w:line="357" w:lineRule="exact" w:before="0" w:after="0"/>
        <w:ind w:left="737" w:right="0" w:hanging="637"/>
        <w:jc w:val="left"/>
        <w:rPr>
          <w:b/>
          <w:sz w:val="28"/>
        </w:rPr>
      </w:pPr>
      <w:bookmarkStart w:name="_TOC_250010" w:id="58"/>
      <w:bookmarkEnd w:id="58"/>
      <w:r>
        <w:rPr>
          <w:b/>
          <w:sz w:val="28"/>
        </w:rPr>
        <w:t>应急经费保障</w:t>
      </w:r>
    </w:p>
    <w:p>
      <w:pPr>
        <w:pStyle w:val="BodyText"/>
        <w:spacing w:line="362" w:lineRule="auto" w:before="186"/>
        <w:ind w:left="101" w:right="256" w:firstLine="559"/>
      </w:pPr>
      <w:r>
        <w:rPr/>
        <w:t>公司建立安全环保投入保障制度，安全环保费用的提取以上年度实际销售收入为计提依据，采取超额累退方式，逐月提取。</w:t>
      </w:r>
    </w:p>
    <w:p>
      <w:pPr>
        <w:pStyle w:val="BodyText"/>
        <w:spacing w:line="364" w:lineRule="auto" w:before="4"/>
        <w:ind w:left="101" w:right="256" w:firstLine="559"/>
        <w:jc w:val="both"/>
      </w:pPr>
      <w:r>
        <w:rPr>
          <w:spacing w:val="-12"/>
        </w:rPr>
        <w:t>财务部负责按照规定足额提取安全费用，并设专人管理，建立“安</w:t>
      </w:r>
      <w:r>
        <w:rPr>
          <w:spacing w:val="-15"/>
        </w:rPr>
        <w:t>全环保费用提取台帐”和“安全环保费用使用台帐”。其中部分费用用</w:t>
      </w:r>
      <w:r>
        <w:rPr>
          <w:spacing w:val="-8"/>
        </w:rPr>
        <w:t>于建立应急救援队伍、开展应急救援演练。</w:t>
      </w:r>
    </w:p>
    <w:p>
      <w:pPr>
        <w:pStyle w:val="BodyText"/>
        <w:spacing w:line="357" w:lineRule="exact"/>
        <w:ind w:left="660"/>
      </w:pPr>
      <w:r>
        <w:rPr/>
        <w:t>本公司 2016 年安全环保费用投入估计约为 25 万。</w:t>
      </w:r>
    </w:p>
    <w:p>
      <w:pPr>
        <w:pStyle w:val="ListParagraph"/>
        <w:numPr>
          <w:ilvl w:val="1"/>
          <w:numId w:val="9"/>
        </w:numPr>
        <w:tabs>
          <w:tab w:pos="738" w:val="left" w:leader="none"/>
        </w:tabs>
        <w:spacing w:line="240" w:lineRule="auto" w:before="186" w:after="0"/>
        <w:ind w:left="737" w:right="0" w:hanging="637"/>
        <w:jc w:val="left"/>
        <w:rPr>
          <w:b/>
          <w:sz w:val="28"/>
        </w:rPr>
      </w:pPr>
      <w:bookmarkStart w:name="_TOC_250009" w:id="59"/>
      <w:bookmarkEnd w:id="59"/>
      <w:r>
        <w:rPr>
          <w:b/>
          <w:sz w:val="28"/>
        </w:rPr>
        <w:t>其他保障</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交通运输保障</w:t>
      </w:r>
    </w:p>
    <w:p>
      <w:pPr>
        <w:pStyle w:val="BodyText"/>
        <w:spacing w:line="364" w:lineRule="auto" w:before="186"/>
        <w:ind w:left="101" w:right="253" w:firstLine="559"/>
      </w:pPr>
      <w:r>
        <w:rPr>
          <w:spacing w:val="-13"/>
        </w:rPr>
        <w:t>公司保障 </w:t>
      </w:r>
      <w:r>
        <w:rPr/>
        <w:t>24</w:t>
      </w:r>
      <w:r>
        <w:rPr>
          <w:spacing w:val="-12"/>
        </w:rPr>
        <w:t> 小时内，必须保证值班车辆一部，确保及时调运有关</w:t>
      </w:r>
      <w:r>
        <w:rPr>
          <w:spacing w:val="-3"/>
        </w:rPr>
        <w:t>应急救援人员、装备和物资。</w:t>
      </w:r>
    </w:p>
    <w:p>
      <w:pPr>
        <w:pStyle w:val="ListParagraph"/>
        <w:numPr>
          <w:ilvl w:val="2"/>
          <w:numId w:val="9"/>
        </w:numPr>
        <w:tabs>
          <w:tab w:pos="1300" w:val="left" w:leader="none"/>
        </w:tabs>
        <w:spacing w:line="358" w:lineRule="exact" w:before="0" w:after="0"/>
        <w:ind w:left="1299" w:right="0" w:hanging="918"/>
        <w:jc w:val="left"/>
        <w:rPr>
          <w:b/>
          <w:sz w:val="28"/>
        </w:rPr>
      </w:pPr>
      <w:r>
        <w:rPr>
          <w:b/>
          <w:sz w:val="28"/>
        </w:rPr>
        <w:t>医疗卫生保障</w:t>
      </w:r>
    </w:p>
    <w:p>
      <w:pPr>
        <w:pStyle w:val="BodyText"/>
        <w:spacing w:line="364" w:lineRule="auto" w:before="186"/>
        <w:ind w:left="101" w:right="359" w:firstLine="559"/>
        <w:jc w:val="both"/>
      </w:pPr>
      <w:r>
        <w:rPr>
          <w:spacing w:val="-3"/>
        </w:rPr>
        <w:t>向协助救援医院通报公司发生火灾事故时可能出现的情况，配备</w:t>
      </w:r>
      <w:r>
        <w:rPr>
          <w:spacing w:val="-6"/>
        </w:rPr>
        <w:t>必要的急救药品。距离较近的潍坊市中医院滨海分院 </w:t>
      </w:r>
      <w:r>
        <w:rPr/>
        <w:t>3.6</w:t>
      </w:r>
      <w:r>
        <w:rPr>
          <w:spacing w:val="-14"/>
        </w:rPr>
        <w:t> 公里，滨海</w:t>
      </w:r>
      <w:r>
        <w:rPr>
          <w:spacing w:val="-12"/>
        </w:rPr>
        <w:t>区人民医院 </w:t>
      </w:r>
      <w:r>
        <w:rPr/>
        <w:t>22</w:t>
      </w:r>
      <w:r>
        <w:rPr>
          <w:spacing w:val="-11"/>
        </w:rPr>
        <w:t> 公里，可提供医疗救护。</w:t>
      </w:r>
    </w:p>
    <w:p>
      <w:pPr>
        <w:pStyle w:val="ListParagraph"/>
        <w:numPr>
          <w:ilvl w:val="2"/>
          <w:numId w:val="9"/>
        </w:numPr>
        <w:tabs>
          <w:tab w:pos="1300" w:val="left" w:leader="none"/>
        </w:tabs>
        <w:spacing w:line="357" w:lineRule="exact" w:before="0" w:after="0"/>
        <w:ind w:left="1299" w:right="0" w:hanging="918"/>
        <w:jc w:val="left"/>
        <w:rPr>
          <w:b/>
          <w:sz w:val="28"/>
        </w:rPr>
      </w:pPr>
      <w:r>
        <w:rPr>
          <w:b/>
          <w:sz w:val="28"/>
        </w:rPr>
        <w:t>治安保障</w:t>
      </w:r>
    </w:p>
    <w:p>
      <w:pPr>
        <w:pStyle w:val="BodyText"/>
        <w:spacing w:line="364" w:lineRule="auto" w:before="186"/>
        <w:ind w:left="101" w:right="256" w:firstLine="559"/>
        <w:jc w:val="both"/>
      </w:pPr>
      <w:r>
        <w:rPr/>
        <w:t>保卫科负责事故现场治安警戒和治安管理，加强对重要物资和设备的保护，维持现场秩序，及时疏散群众。必要时请求当地派出所协助事故灾难现场治安警戒和治安管理。</w:t>
      </w:r>
    </w:p>
    <w:p>
      <w:pPr>
        <w:pStyle w:val="Heading1"/>
        <w:numPr>
          <w:ilvl w:val="0"/>
          <w:numId w:val="9"/>
        </w:numPr>
        <w:tabs>
          <w:tab w:pos="505" w:val="left" w:leader="none"/>
        </w:tabs>
        <w:spacing w:line="240" w:lineRule="auto" w:before="2" w:after="0"/>
        <w:ind w:left="504" w:right="0" w:hanging="404"/>
        <w:jc w:val="both"/>
      </w:pPr>
      <w:bookmarkStart w:name="_TOC_250008" w:id="60"/>
      <w:bookmarkEnd w:id="60"/>
      <w:r>
        <w:rPr/>
        <w:t>应急预案管理</w:t>
      </w:r>
    </w:p>
    <w:p>
      <w:pPr>
        <w:spacing w:after="0" w:line="240" w:lineRule="auto"/>
        <w:jc w:val="both"/>
        <w:sectPr>
          <w:pgSz w:w="11910" w:h="16840"/>
          <w:pgMar w:header="0" w:footer="984" w:top="1580" w:bottom="1180" w:left="1600" w:right="1440"/>
        </w:sectPr>
      </w:pPr>
    </w:p>
    <w:p>
      <w:pPr>
        <w:pStyle w:val="ListParagraph"/>
        <w:numPr>
          <w:ilvl w:val="1"/>
          <w:numId w:val="9"/>
        </w:numPr>
        <w:tabs>
          <w:tab w:pos="738" w:val="left" w:leader="none"/>
        </w:tabs>
        <w:spacing w:line="240" w:lineRule="auto" w:before="102" w:after="0"/>
        <w:ind w:left="737" w:right="0" w:hanging="637"/>
        <w:jc w:val="left"/>
        <w:rPr>
          <w:b/>
          <w:sz w:val="28"/>
        </w:rPr>
      </w:pPr>
      <w:bookmarkStart w:name="_TOC_250007" w:id="61"/>
      <w:bookmarkEnd w:id="61"/>
      <w:r>
        <w:rPr>
          <w:b/>
          <w:sz w:val="28"/>
        </w:rPr>
        <w:t>应急预案培训</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应急培训</w:t>
      </w:r>
    </w:p>
    <w:p>
      <w:pPr>
        <w:pStyle w:val="BodyText"/>
        <w:spacing w:line="364" w:lineRule="auto" w:before="186"/>
        <w:ind w:left="101" w:right="256" w:firstLine="559"/>
      </w:pPr>
      <w:r>
        <w:rPr/>
        <w:t>总体计划：根据国家和地方政府的文件和主要安全、环保会议要求，结合本公司实际，在每年年初制定全年的环保培训计划。</w:t>
      </w:r>
    </w:p>
    <w:p>
      <w:pPr>
        <w:pStyle w:val="BodyText"/>
        <w:spacing w:line="364" w:lineRule="auto"/>
        <w:ind w:left="101" w:right="256" w:firstLine="559"/>
        <w:jc w:val="both"/>
      </w:pPr>
      <w:r>
        <w:rPr/>
        <w:t>培训内容：国家有关环保的方针、政策、法律法规及有关规章制度；事故案例及事故应急处理措施；安全技术；个人防护用品、急救器材、消防器材的使用及注意事项；定期进行事故演练等。</w:t>
      </w:r>
    </w:p>
    <w:p>
      <w:pPr>
        <w:pStyle w:val="ListParagraph"/>
        <w:numPr>
          <w:ilvl w:val="2"/>
          <w:numId w:val="9"/>
        </w:numPr>
        <w:tabs>
          <w:tab w:pos="1232" w:val="left" w:leader="none"/>
        </w:tabs>
        <w:spacing w:line="355" w:lineRule="exact" w:before="0" w:after="0"/>
        <w:ind w:left="1231" w:right="0" w:hanging="850"/>
        <w:jc w:val="left"/>
        <w:rPr>
          <w:b/>
          <w:sz w:val="28"/>
        </w:rPr>
      </w:pPr>
      <w:r>
        <w:rPr>
          <w:b/>
          <w:sz w:val="28"/>
        </w:rPr>
        <w:t>、应急培训的要求</w:t>
      </w:r>
    </w:p>
    <w:p>
      <w:pPr>
        <w:pStyle w:val="BodyText"/>
        <w:spacing w:line="364" w:lineRule="auto" w:before="185"/>
        <w:ind w:left="101" w:right="204" w:firstLine="559"/>
      </w:pPr>
      <w:r>
        <w:rPr/>
        <w:t>① 针对性：针对可能的突发环境事件情景及承担的应急职责，不同的人员应培训不同的内容。</w:t>
      </w:r>
    </w:p>
    <w:p>
      <w:pPr>
        <w:pStyle w:val="BodyText"/>
        <w:spacing w:line="358" w:lineRule="exact"/>
        <w:ind w:left="660"/>
      </w:pPr>
      <w:r>
        <w:rPr/>
        <w:t>② 周期性：一般每年进行一次培训 。</w:t>
      </w:r>
    </w:p>
    <w:p>
      <w:pPr>
        <w:pStyle w:val="BodyText"/>
        <w:spacing w:before="186"/>
        <w:ind w:left="660"/>
      </w:pPr>
      <w:r>
        <w:rPr/>
        <w:t>③ 定期性：定期进行突发环境事件技能训练。</w:t>
      </w:r>
    </w:p>
    <w:p>
      <w:pPr>
        <w:pStyle w:val="BodyText"/>
        <w:spacing w:before="186"/>
        <w:ind w:left="660"/>
      </w:pPr>
      <w:r>
        <w:rPr/>
        <w:t>④ 真实性：尽量贴近突发环境事件实际应急活动。</w:t>
      </w:r>
    </w:p>
    <w:p>
      <w:pPr>
        <w:pStyle w:val="BodyText"/>
        <w:spacing w:before="186"/>
        <w:ind w:left="660"/>
      </w:pPr>
      <w:r>
        <w:rPr/>
        <w:t>⑤ 培训考核：进行定期考核，注重培训实效。</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社区或周边人员应急响应知识的宣传</w:t>
      </w:r>
    </w:p>
    <w:p>
      <w:pPr>
        <w:pStyle w:val="BodyText"/>
        <w:spacing w:line="364" w:lineRule="auto" w:before="186"/>
        <w:ind w:left="101" w:right="256" w:firstLine="559"/>
      </w:pPr>
      <w:r>
        <w:rPr/>
        <w:t>将公司使用主要原料的特性，发生事故后的应急救援措施向企业社区和周边人员及外来人员进行介绍。</w:t>
      </w:r>
    </w:p>
    <w:p>
      <w:pPr>
        <w:pStyle w:val="BodyText"/>
        <w:spacing w:line="364" w:lineRule="auto"/>
        <w:ind w:left="101" w:right="115" w:firstLine="559"/>
      </w:pPr>
      <w:r>
        <w:rPr/>
        <w:t>加强对社区及周边人员的防范事故安全教育和应急处置工作教育, 通过各种形式向公众宣传装置出现紧急情况时应采取的正确措施,增强公众的自我保护意识,提高自救、互救能力,尽量减少人员伤亡和财产损失。</w:t>
      </w:r>
    </w:p>
    <w:p>
      <w:pPr>
        <w:pStyle w:val="ListParagraph"/>
        <w:numPr>
          <w:ilvl w:val="1"/>
          <w:numId w:val="9"/>
        </w:numPr>
        <w:tabs>
          <w:tab w:pos="808" w:val="left" w:leader="none"/>
        </w:tabs>
        <w:spacing w:line="357" w:lineRule="exact" w:before="0" w:after="0"/>
        <w:ind w:left="807" w:right="0" w:hanging="707"/>
        <w:jc w:val="left"/>
        <w:rPr>
          <w:b/>
          <w:sz w:val="28"/>
        </w:rPr>
      </w:pPr>
      <w:bookmarkStart w:name="_TOC_250006" w:id="62"/>
      <w:bookmarkEnd w:id="62"/>
      <w:r>
        <w:rPr>
          <w:b/>
          <w:sz w:val="28"/>
        </w:rPr>
        <w:t>应急预案演练</w:t>
      </w:r>
    </w:p>
    <w:p>
      <w:pPr>
        <w:pStyle w:val="BodyText"/>
        <w:spacing w:line="364" w:lineRule="auto" w:before="185"/>
        <w:ind w:left="101" w:right="256" w:firstLine="559"/>
        <w:jc w:val="both"/>
      </w:pPr>
      <w:r>
        <w:rPr/>
        <w:t>应急救援预案演练由公司应急指挥中心组织，每年均举行，并在两年内覆盖应急预案中所有内容，演练方式采用模拟演练方式，并根据演练情况，修订和完善应急预案，具体要求如下：</w:t>
      </w:r>
    </w:p>
    <w:p>
      <w:pPr>
        <w:spacing w:after="0" w:line="364" w:lineRule="auto"/>
        <w:jc w:val="both"/>
        <w:sectPr>
          <w:pgSz w:w="11910" w:h="16840"/>
          <w:pgMar w:header="0" w:footer="984" w:top="1580" w:bottom="1180" w:left="1600" w:right="1440"/>
        </w:sectPr>
      </w:pPr>
    </w:p>
    <w:p>
      <w:pPr>
        <w:pStyle w:val="BodyText"/>
        <w:spacing w:before="102"/>
        <w:ind w:left="660"/>
      </w:pPr>
      <w:r>
        <w:rPr/>
        <w:t>演练对象：公司全体应急成员和相应员工。</w:t>
      </w:r>
    </w:p>
    <w:p>
      <w:pPr>
        <w:pStyle w:val="BodyText"/>
        <w:spacing w:line="364" w:lineRule="auto" w:before="186"/>
        <w:ind w:left="101" w:right="255" w:firstLine="559"/>
      </w:pPr>
      <w:r>
        <w:rPr/>
        <w:t>演练方式：采用实地演练、现场实施的方式，对无法在现场设置预演的项目，可让演练人员在现场进行口述处理经过。</w:t>
      </w:r>
    </w:p>
    <w:p>
      <w:pPr>
        <w:pStyle w:val="ListParagraph"/>
        <w:numPr>
          <w:ilvl w:val="2"/>
          <w:numId w:val="9"/>
        </w:numPr>
        <w:tabs>
          <w:tab w:pos="1300" w:val="left" w:leader="none"/>
        </w:tabs>
        <w:spacing w:line="358" w:lineRule="exact" w:before="0" w:after="0"/>
        <w:ind w:left="1299" w:right="0" w:hanging="918"/>
        <w:jc w:val="left"/>
        <w:rPr>
          <w:b/>
          <w:sz w:val="28"/>
        </w:rPr>
      </w:pPr>
      <w:r>
        <w:rPr>
          <w:b/>
          <w:sz w:val="28"/>
        </w:rPr>
        <w:t>演练计划</w:t>
      </w:r>
    </w:p>
    <w:p>
      <w:pPr>
        <w:pStyle w:val="BodyText"/>
        <w:spacing w:line="364" w:lineRule="auto" w:before="186"/>
        <w:ind w:left="101" w:right="256" w:firstLine="559"/>
        <w:jc w:val="both"/>
      </w:pPr>
      <w:r>
        <w:rPr/>
        <w:t>每年年初，制定公司演练计划。以本企业危险化学品的泄漏、火灾、爆炸为主要内容，综合应急救援演练的范围为全公司的应急救援演练，全体员工要参加演练。</w:t>
      </w:r>
    </w:p>
    <w:p>
      <w:pPr>
        <w:pStyle w:val="ListParagraph"/>
        <w:numPr>
          <w:ilvl w:val="2"/>
          <w:numId w:val="9"/>
        </w:numPr>
        <w:tabs>
          <w:tab w:pos="1300" w:val="left" w:leader="none"/>
        </w:tabs>
        <w:spacing w:line="355" w:lineRule="exact" w:before="0" w:after="0"/>
        <w:ind w:left="1299" w:right="0" w:hanging="918"/>
        <w:jc w:val="left"/>
        <w:rPr>
          <w:b/>
          <w:sz w:val="28"/>
        </w:rPr>
      </w:pPr>
      <w:r>
        <w:rPr>
          <w:b/>
          <w:sz w:val="28"/>
        </w:rPr>
        <w:t>演练内容</w:t>
      </w:r>
    </w:p>
    <w:p>
      <w:pPr>
        <w:pStyle w:val="BodyText"/>
        <w:spacing w:line="364" w:lineRule="auto" w:before="186"/>
        <w:ind w:left="101" w:right="256" w:firstLine="559"/>
      </w:pPr>
      <w:r>
        <w:rPr/>
        <w:t>应急指挥中心具体设置事故的等级及相应的危害范围，按预定的内容方案组织抢险演习。</w:t>
      </w:r>
    </w:p>
    <w:p>
      <w:pPr>
        <w:pStyle w:val="BodyText"/>
        <w:spacing w:line="364" w:lineRule="auto"/>
        <w:ind w:left="101" w:right="116" w:firstLine="559"/>
      </w:pPr>
      <w:r>
        <w:rPr>
          <w:spacing w:val="1"/>
        </w:rPr>
        <w:t>可分为二部分，一是事故应急救援的演习者，占全部人员的 </w:t>
      </w:r>
      <w:r>
        <w:rPr/>
        <w:t>90% 以上。从指挥员到参加应急救援的每一个专业队成员都必须是现职人员，即将来可能与事故和应急救援直接有关者。另一部分为演习评价人员，分工对演习的每一个程序进行考核评比，演习模拟实战需要， 每一名指战员根据现场指挥部设置的事故等级明确各自的职责，落实组织措施。首先由指挥部下达预备信号，由设定的事故单位向指挥部报告事故的具体情况，指挥部根据设定的危害程度，按应急救援信号规定发出援救信号。指挥员下达应急救援任务。明确事故发生地点、</w:t>
      </w:r>
      <w:r>
        <w:rPr>
          <w:spacing w:val="-7"/>
        </w:rPr>
        <w:t>时间、原因、性质、规模、联络信号注意事项和现场指挥员的位置等。</w:t>
      </w:r>
      <w:r>
        <w:rPr>
          <w:spacing w:val="-5"/>
        </w:rPr>
        <w:t>然后实施，援救演习。</w:t>
      </w:r>
    </w:p>
    <w:p>
      <w:pPr>
        <w:pStyle w:val="ListParagraph"/>
        <w:numPr>
          <w:ilvl w:val="2"/>
          <w:numId w:val="9"/>
        </w:numPr>
        <w:tabs>
          <w:tab w:pos="1300" w:val="left" w:leader="none"/>
        </w:tabs>
        <w:spacing w:line="354" w:lineRule="exact" w:before="0" w:after="0"/>
        <w:ind w:left="1299" w:right="0" w:hanging="918"/>
        <w:jc w:val="left"/>
        <w:rPr>
          <w:b/>
          <w:sz w:val="28"/>
        </w:rPr>
      </w:pPr>
      <w:r>
        <w:rPr>
          <w:b/>
          <w:sz w:val="28"/>
        </w:rPr>
        <w:t>演练的要求</w:t>
      </w:r>
    </w:p>
    <w:p>
      <w:pPr>
        <w:pStyle w:val="BodyText"/>
        <w:spacing w:line="364" w:lineRule="auto" w:before="185"/>
        <w:ind w:left="101" w:right="203" w:firstLine="559"/>
      </w:pPr>
      <w:r>
        <w:rPr/>
        <w:t>① 不管和何种规模的演练，都要全面真实，有代表性，切合生产实际，保证演练取得实效。</w:t>
      </w:r>
    </w:p>
    <w:p>
      <w:pPr>
        <w:pStyle w:val="BodyText"/>
        <w:spacing w:line="364" w:lineRule="auto"/>
        <w:ind w:left="101" w:right="203" w:firstLine="559"/>
      </w:pPr>
      <w:r>
        <w:rPr/>
        <w:t>② 演练活动的开展要持之以恒，让企业员工时刻居安思危，提高事故应变能力，提高应急救援队伍整体协调性和应急作战水平，以预</w:t>
      </w:r>
    </w:p>
    <w:p>
      <w:pPr>
        <w:spacing w:after="0" w:line="364" w:lineRule="auto"/>
        <w:sectPr>
          <w:pgSz w:w="11910" w:h="16840"/>
          <w:pgMar w:header="0" w:footer="984" w:top="1580" w:bottom="1180" w:left="1600" w:right="1440"/>
        </w:sectPr>
      </w:pPr>
    </w:p>
    <w:p>
      <w:pPr>
        <w:pStyle w:val="BodyText"/>
        <w:spacing w:before="102"/>
        <w:ind w:left="101"/>
      </w:pPr>
      <w:r>
        <w:rPr/>
        <w:t>防和控制各类事故的发生，确保生产安全运行。</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应急演练的评估、总结</w:t>
      </w:r>
    </w:p>
    <w:p>
      <w:pPr>
        <w:pStyle w:val="BodyText"/>
        <w:spacing w:line="364" w:lineRule="auto" w:before="186"/>
        <w:ind w:left="101" w:right="90" w:firstLine="559"/>
      </w:pPr>
      <w:r>
        <w:rPr/>
        <w:t>主办演练的各级应急部门对演练情况予以记录，并妥善保存备查。演练结束后对演练的效果作出评估，提交演练报告，并针对演练过程中发现的问题，划分为不适项、整改项和改进项，分别进行纠正、整改、改进。</w:t>
      </w:r>
    </w:p>
    <w:p>
      <w:pPr>
        <w:pStyle w:val="BodyText"/>
        <w:spacing w:line="354" w:lineRule="exact"/>
        <w:ind w:left="660"/>
      </w:pPr>
      <w:r>
        <w:rPr/>
        <w:t>本次预案编制过程中，公司组织员工进行了液氨泄漏应急演练。</w:t>
      </w:r>
    </w:p>
    <w:p>
      <w:pPr>
        <w:pStyle w:val="Heading1"/>
        <w:numPr>
          <w:ilvl w:val="0"/>
          <w:numId w:val="9"/>
        </w:numPr>
        <w:tabs>
          <w:tab w:pos="505" w:val="left" w:leader="none"/>
        </w:tabs>
        <w:spacing w:line="240" w:lineRule="auto" w:before="189" w:after="0"/>
        <w:ind w:left="504" w:right="0" w:hanging="404"/>
        <w:jc w:val="left"/>
      </w:pPr>
      <w:bookmarkStart w:name="_TOC_250005" w:id="63"/>
      <w:bookmarkEnd w:id="63"/>
      <w:r>
        <w:rPr/>
        <w:t>奖惩</w:t>
      </w:r>
    </w:p>
    <w:p>
      <w:pPr>
        <w:pStyle w:val="ListParagraph"/>
        <w:numPr>
          <w:ilvl w:val="1"/>
          <w:numId w:val="9"/>
        </w:numPr>
        <w:tabs>
          <w:tab w:pos="738" w:val="left" w:leader="none"/>
        </w:tabs>
        <w:spacing w:line="240" w:lineRule="auto" w:before="211" w:after="0"/>
        <w:ind w:left="737" w:right="0" w:hanging="637"/>
        <w:jc w:val="left"/>
        <w:rPr>
          <w:b/>
          <w:sz w:val="28"/>
        </w:rPr>
      </w:pPr>
      <w:bookmarkStart w:name="_TOC_250004" w:id="64"/>
      <w:bookmarkEnd w:id="64"/>
      <w:r>
        <w:rPr>
          <w:b/>
          <w:sz w:val="28"/>
        </w:rPr>
        <w:t>奖励</w:t>
      </w:r>
    </w:p>
    <w:p>
      <w:pPr>
        <w:pStyle w:val="BodyText"/>
        <w:spacing w:line="364" w:lineRule="auto" w:before="186"/>
        <w:ind w:left="660" w:right="642"/>
      </w:pPr>
      <w:r>
        <w:rPr/>
        <w:t>对有下列表现之一的部门和个人，应依据有关规定给予奖励： (1)出色完成应急处置任务，成绩显著的。</w:t>
      </w:r>
    </w:p>
    <w:p>
      <w:pPr>
        <w:pStyle w:val="ListParagraph"/>
        <w:numPr>
          <w:ilvl w:val="0"/>
          <w:numId w:val="40"/>
        </w:numPr>
        <w:tabs>
          <w:tab w:pos="1085" w:val="left" w:leader="none"/>
        </w:tabs>
        <w:spacing w:line="364" w:lineRule="auto" w:before="0" w:after="0"/>
        <w:ind w:left="101" w:right="253" w:firstLine="559"/>
        <w:jc w:val="left"/>
        <w:rPr>
          <w:sz w:val="28"/>
        </w:rPr>
      </w:pPr>
      <w:r>
        <w:rPr>
          <w:spacing w:val="-5"/>
          <w:sz w:val="28"/>
        </w:rPr>
        <w:t>防止或抢救事故灾难有功，使人员生命、财产免受损失或者减</w:t>
      </w:r>
      <w:r>
        <w:rPr>
          <w:spacing w:val="-4"/>
          <w:sz w:val="28"/>
        </w:rPr>
        <w:t>少损失的。</w:t>
      </w:r>
    </w:p>
    <w:p>
      <w:pPr>
        <w:pStyle w:val="ListParagraph"/>
        <w:numPr>
          <w:ilvl w:val="0"/>
          <w:numId w:val="40"/>
        </w:numPr>
        <w:tabs>
          <w:tab w:pos="1085" w:val="left" w:leader="none"/>
        </w:tabs>
        <w:spacing w:line="364" w:lineRule="auto" w:before="0" w:after="0"/>
        <w:ind w:left="660" w:right="1619" w:firstLine="0"/>
        <w:jc w:val="left"/>
        <w:rPr>
          <w:sz w:val="28"/>
        </w:rPr>
      </w:pPr>
      <w:r>
        <w:rPr>
          <w:spacing w:val="-4"/>
          <w:sz w:val="28"/>
        </w:rPr>
        <w:t>对应急救援工作提出重大建议，实施效果显著的。</w:t>
      </w:r>
      <w:r>
        <w:rPr>
          <w:sz w:val="28"/>
        </w:rPr>
        <w:t>(4</w:t>
      </w:r>
      <w:r>
        <w:rPr>
          <w:spacing w:val="-2"/>
          <w:sz w:val="28"/>
        </w:rPr>
        <w:t>)有其他特殊贡献的。</w:t>
      </w:r>
    </w:p>
    <w:p>
      <w:pPr>
        <w:pStyle w:val="ListParagraph"/>
        <w:numPr>
          <w:ilvl w:val="1"/>
          <w:numId w:val="9"/>
        </w:numPr>
        <w:tabs>
          <w:tab w:pos="738" w:val="left" w:leader="none"/>
        </w:tabs>
        <w:spacing w:line="355" w:lineRule="exact" w:before="0" w:after="0"/>
        <w:ind w:left="737" w:right="0" w:hanging="637"/>
        <w:jc w:val="left"/>
        <w:rPr>
          <w:b/>
          <w:sz w:val="28"/>
        </w:rPr>
      </w:pPr>
      <w:bookmarkStart w:name="_TOC_250003" w:id="65"/>
      <w:bookmarkEnd w:id="65"/>
      <w:r>
        <w:rPr>
          <w:b/>
          <w:sz w:val="28"/>
        </w:rPr>
        <w:t>责任追究</w:t>
      </w:r>
    </w:p>
    <w:p>
      <w:pPr>
        <w:pStyle w:val="BodyText"/>
        <w:spacing w:line="364" w:lineRule="auto" w:before="184"/>
        <w:ind w:left="101" w:right="256" w:firstLine="559"/>
        <w:jc w:val="both"/>
      </w:pPr>
      <w:r>
        <w:rPr/>
        <w:t>对有下列行为之一的，按照法律、法规及有关规定，对有关责任人员视情节和危害后果给予处罚；其中，属于违反治安管理行为的， 由公安机关依照有关法律法规的规定予以处罚；构成犯罪的，由司法机关依法追究刑事责任：</w:t>
      </w:r>
    </w:p>
    <w:p>
      <w:pPr>
        <w:pStyle w:val="BodyText"/>
        <w:spacing w:line="364" w:lineRule="auto"/>
        <w:ind w:left="660" w:right="501"/>
      </w:pPr>
      <w:r>
        <w:rPr/>
        <w:t>(1)不按照规定制订事故应急预案，拒绝履行应急准备义务的。(2)不按照规定报告、通报事故灾难真实情况的。</w:t>
      </w:r>
    </w:p>
    <w:p>
      <w:pPr>
        <w:pStyle w:val="ListParagraph"/>
        <w:numPr>
          <w:ilvl w:val="0"/>
          <w:numId w:val="41"/>
        </w:numPr>
        <w:tabs>
          <w:tab w:pos="1085" w:val="left" w:leader="none"/>
        </w:tabs>
        <w:spacing w:line="364" w:lineRule="auto" w:before="0" w:after="0"/>
        <w:ind w:left="101" w:right="253" w:firstLine="559"/>
        <w:jc w:val="left"/>
        <w:rPr>
          <w:sz w:val="28"/>
        </w:rPr>
      </w:pPr>
      <w:r>
        <w:rPr>
          <w:spacing w:val="-7"/>
          <w:sz w:val="28"/>
        </w:rPr>
        <w:t>拒不执行事故应急救援预案，不服从命令和指挥，或者在应急</w:t>
      </w:r>
      <w:r>
        <w:rPr>
          <w:spacing w:val="-3"/>
          <w:sz w:val="28"/>
        </w:rPr>
        <w:t>响应时临阵脱逃的。</w:t>
      </w:r>
    </w:p>
    <w:p>
      <w:pPr>
        <w:pStyle w:val="ListParagraph"/>
        <w:numPr>
          <w:ilvl w:val="0"/>
          <w:numId w:val="41"/>
        </w:numPr>
        <w:tabs>
          <w:tab w:pos="1085" w:val="left" w:leader="none"/>
        </w:tabs>
        <w:spacing w:line="358" w:lineRule="exact" w:before="0" w:after="0"/>
        <w:ind w:left="1084" w:right="0" w:hanging="425"/>
        <w:jc w:val="left"/>
        <w:rPr>
          <w:sz w:val="28"/>
        </w:rPr>
      </w:pPr>
      <w:r>
        <w:rPr>
          <w:spacing w:val="-3"/>
          <w:sz w:val="28"/>
        </w:rPr>
        <w:t>盗窃、挪用、贪污应急工作资金或者物资的。</w:t>
      </w:r>
    </w:p>
    <w:p>
      <w:pPr>
        <w:spacing w:after="0" w:line="358" w:lineRule="exact"/>
        <w:jc w:val="left"/>
        <w:rPr>
          <w:sz w:val="28"/>
        </w:rPr>
        <w:sectPr>
          <w:pgSz w:w="11910" w:h="16840"/>
          <w:pgMar w:header="0" w:footer="984" w:top="1580" w:bottom="1180" w:left="1600" w:right="1440"/>
        </w:sectPr>
      </w:pPr>
    </w:p>
    <w:p>
      <w:pPr>
        <w:pStyle w:val="ListParagraph"/>
        <w:numPr>
          <w:ilvl w:val="0"/>
          <w:numId w:val="41"/>
        </w:numPr>
        <w:tabs>
          <w:tab w:pos="1085" w:val="left" w:leader="none"/>
        </w:tabs>
        <w:spacing w:line="364" w:lineRule="auto" w:before="102" w:after="0"/>
        <w:ind w:left="660" w:right="1062" w:firstLine="0"/>
        <w:jc w:val="left"/>
        <w:rPr>
          <w:sz w:val="28"/>
        </w:rPr>
      </w:pPr>
      <w:r>
        <w:rPr>
          <w:spacing w:val="-4"/>
          <w:sz w:val="28"/>
        </w:rPr>
        <w:t>阻碍应急工作人员依法执行任务或者进行破坏活动的。</w:t>
      </w:r>
      <w:r>
        <w:rPr>
          <w:sz w:val="28"/>
        </w:rPr>
        <w:t>(6</w:t>
      </w:r>
      <w:r>
        <w:rPr>
          <w:spacing w:val="-3"/>
          <w:sz w:val="28"/>
        </w:rPr>
        <w:t>)散布谣言，扰乱社会秩序的。</w:t>
      </w:r>
    </w:p>
    <w:p>
      <w:pPr>
        <w:pStyle w:val="BodyText"/>
        <w:spacing w:line="358" w:lineRule="exact"/>
        <w:ind w:left="660"/>
      </w:pPr>
      <w:r>
        <w:rPr/>
        <w:t>(7)有其他危害应急工作行为的。</w:t>
      </w:r>
    </w:p>
    <w:p>
      <w:pPr>
        <w:pStyle w:val="Heading1"/>
        <w:numPr>
          <w:ilvl w:val="0"/>
          <w:numId w:val="9"/>
        </w:numPr>
        <w:tabs>
          <w:tab w:pos="505" w:val="left" w:leader="none"/>
        </w:tabs>
        <w:spacing w:line="240" w:lineRule="auto" w:before="189" w:after="0"/>
        <w:ind w:left="504" w:right="0" w:hanging="404"/>
        <w:jc w:val="left"/>
      </w:pPr>
      <w:bookmarkStart w:name="_TOC_250002" w:id="66"/>
      <w:bookmarkEnd w:id="66"/>
      <w:r>
        <w:rPr/>
        <w:t>附则</w:t>
      </w:r>
    </w:p>
    <w:p>
      <w:pPr>
        <w:pStyle w:val="ListParagraph"/>
        <w:numPr>
          <w:ilvl w:val="1"/>
          <w:numId w:val="9"/>
        </w:numPr>
        <w:tabs>
          <w:tab w:pos="738" w:val="left" w:leader="none"/>
        </w:tabs>
        <w:spacing w:line="240" w:lineRule="auto" w:before="209" w:after="0"/>
        <w:ind w:left="737" w:right="0" w:hanging="637"/>
        <w:jc w:val="left"/>
        <w:rPr>
          <w:b/>
          <w:sz w:val="28"/>
        </w:rPr>
      </w:pPr>
      <w:bookmarkStart w:name="_TOC_250001" w:id="67"/>
      <w:bookmarkEnd w:id="67"/>
      <w:r>
        <w:rPr>
          <w:b/>
          <w:sz w:val="28"/>
        </w:rPr>
        <w:t>制定与修订</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应急预案备案与修订</w:t>
      </w:r>
    </w:p>
    <w:p>
      <w:pPr>
        <w:pStyle w:val="BodyText"/>
        <w:spacing w:line="364" w:lineRule="auto" w:before="186"/>
        <w:ind w:left="101" w:right="116" w:firstLine="559"/>
      </w:pPr>
      <w:r>
        <w:rPr/>
        <w:t>本应急预案制定后，企业至少每三年对环境应急预案进行一次回</w:t>
      </w:r>
      <w:r>
        <w:rPr>
          <w:spacing w:val="-5"/>
        </w:rPr>
        <w:t>顾性评估。如果企业面临的环境风险、应急管理组织指挥体系与职责、</w:t>
      </w:r>
      <w:r>
        <w:rPr>
          <w:spacing w:val="-1"/>
        </w:rPr>
        <w:t>环境应急措施、重要应急资源发生重大变化或实际应对和演练发现问</w:t>
      </w:r>
      <w:r>
        <w:rPr/>
        <w:t>题，以及其他需要修订的情况，要及时修订环境应急预案，修订程序</w:t>
      </w:r>
      <w:r>
        <w:rPr>
          <w:spacing w:val="-3"/>
        </w:rPr>
        <w:t>参照制定程序进行，报环保局备案。</w:t>
      </w:r>
    </w:p>
    <w:p>
      <w:pPr>
        <w:pStyle w:val="BodyText"/>
        <w:spacing w:line="356" w:lineRule="exact"/>
        <w:ind w:left="660"/>
      </w:pPr>
      <w:r>
        <w:rPr/>
        <w:t>本次预案为修订版。</w:t>
      </w:r>
    </w:p>
    <w:p>
      <w:pPr>
        <w:pStyle w:val="ListParagraph"/>
        <w:numPr>
          <w:ilvl w:val="2"/>
          <w:numId w:val="9"/>
        </w:numPr>
        <w:tabs>
          <w:tab w:pos="1300" w:val="left" w:leader="none"/>
        </w:tabs>
        <w:spacing w:line="240" w:lineRule="auto" w:before="186" w:after="0"/>
        <w:ind w:left="1299" w:right="0" w:hanging="918"/>
        <w:jc w:val="left"/>
        <w:rPr>
          <w:b/>
          <w:sz w:val="28"/>
        </w:rPr>
      </w:pPr>
      <w:r>
        <w:rPr>
          <w:b/>
          <w:sz w:val="28"/>
        </w:rPr>
        <w:t>维护和更新</w:t>
      </w:r>
    </w:p>
    <w:p>
      <w:pPr>
        <w:pStyle w:val="BodyText"/>
        <w:spacing w:line="364" w:lineRule="auto" w:before="186"/>
        <w:ind w:left="101" w:right="255" w:firstLine="559"/>
      </w:pPr>
      <w:r>
        <w:rPr/>
        <w:t>预案由公司应急领导小组管理，根据上级要求和公司实际情况定期修订和完善，经公司应急领导小组研究，总经理签字后批准实施。</w:t>
      </w:r>
    </w:p>
    <w:p>
      <w:pPr>
        <w:pStyle w:val="ListParagraph"/>
        <w:numPr>
          <w:ilvl w:val="2"/>
          <w:numId w:val="9"/>
        </w:numPr>
        <w:tabs>
          <w:tab w:pos="1300" w:val="left" w:leader="none"/>
        </w:tabs>
        <w:spacing w:line="355" w:lineRule="exact" w:before="0" w:after="0"/>
        <w:ind w:left="1299" w:right="0" w:hanging="918"/>
        <w:jc w:val="left"/>
        <w:rPr>
          <w:b/>
          <w:sz w:val="28"/>
        </w:rPr>
      </w:pPr>
      <w:r>
        <w:rPr>
          <w:b/>
          <w:sz w:val="28"/>
        </w:rPr>
        <w:t>制定与解释</w:t>
      </w:r>
    </w:p>
    <w:p>
      <w:pPr>
        <w:pStyle w:val="BodyText"/>
        <w:spacing w:before="186"/>
        <w:ind w:left="660"/>
      </w:pPr>
      <w:r>
        <w:rPr/>
        <w:t>本应急预案由应急预案编写小组编写，由公司办公室负责解释。</w:t>
      </w:r>
    </w:p>
    <w:p>
      <w:pPr>
        <w:pStyle w:val="ListParagraph"/>
        <w:numPr>
          <w:ilvl w:val="1"/>
          <w:numId w:val="9"/>
        </w:numPr>
        <w:tabs>
          <w:tab w:pos="738" w:val="left" w:leader="none"/>
        </w:tabs>
        <w:spacing w:line="240" w:lineRule="auto" w:before="186" w:after="0"/>
        <w:ind w:left="737" w:right="0" w:hanging="637"/>
        <w:jc w:val="left"/>
        <w:rPr>
          <w:b/>
          <w:sz w:val="28"/>
        </w:rPr>
      </w:pPr>
      <w:bookmarkStart w:name="_TOC_250000" w:id="68"/>
      <w:bookmarkEnd w:id="68"/>
      <w:r>
        <w:rPr>
          <w:b/>
          <w:sz w:val="28"/>
        </w:rPr>
        <w:t>应急预案实施</w:t>
      </w:r>
    </w:p>
    <w:p>
      <w:pPr>
        <w:pStyle w:val="BodyText"/>
        <w:spacing w:before="186"/>
        <w:ind w:left="660"/>
      </w:pPr>
      <w:r>
        <w:rPr/>
        <w:t>本预案经评审由单位负责人批准后实施。</w:t>
      </w:r>
    </w:p>
    <w:p>
      <w:pPr>
        <w:spacing w:after="0"/>
        <w:sectPr>
          <w:pgSz w:w="11910" w:h="16840"/>
          <w:pgMar w:header="0" w:footer="984" w:top="1580" w:bottom="1180" w:left="1600" w:right="1440"/>
        </w:sectPr>
      </w:pPr>
    </w:p>
    <w:p>
      <w:pPr>
        <w:pStyle w:val="BodyText"/>
        <w:rPr>
          <w:sz w:val="20"/>
        </w:rPr>
      </w:pPr>
      <w:r>
        <w:rPr/>
        <w:pict>
          <v:group style="position:absolute;margin-left:69.480003pt;margin-top:56.639572pt;width:729.75pt;height:491.2pt;mso-position-horizontal-relative:page;mso-position-vertical-relative:page;z-index:-260775936" coordorigin="1390,1133" coordsize="14595,9824">
            <v:line style="position:absolute" from="1390,10649" to="15451,10649" stroked="true" strokeweight=".48pt" strokecolor="#000000">
              <v:stroke dashstyle="solid"/>
            </v:line>
            <v:shape style="position:absolute;left:1418;top:1296;width:14566;height:9660" type="#_x0000_t75" stroked="false">
              <v:imagedata r:id="rId47" o:title=""/>
            </v:shape>
            <v:shape style="position:absolute;left:6998;top:3417;width:2187;height:2386" coordorigin="6998,3418" coordsize="2187,2386" path="m8081,4380l7976,4377,7875,4370,7776,4359,7682,4344,7591,4326,7505,4304,7425,4279,7350,4251,7281,4220,7218,4187,7163,4151,7114,4113,7041,4032,7003,3944,6998,3898,7003,3854,7037,3770,7104,3691,7199,3620,7256,3588,7319,3558,7388,3530,7461,3505,7540,3483,7623,3464,7711,3447,7802,3435,7896,3425,7993,3420,8093,3418,8192,3420,8289,3425,8383,3435,8474,3447,8561,3464,8644,3483,8722,3505,8796,3530,8865,3558,8928,3588,8985,3620,9036,3655,9116,3730,9167,3811,9185,3898,9179,3947,9135,4042,9051,4129,8995,4170,8930,4207,8857,4242,8776,4274,8688,4302,8593,4326,8491,4346,8885,5803,8081,4380xe" filled="false" stroked="true" strokeweight="1.2pt" strokecolor="#739cc3">
              <v:path arrowok="t"/>
              <v:stroke dashstyle="solid"/>
            </v:shape>
            <v:shape style="position:absolute;left:14872;top:1132;width:903;height:982" type="#_x0000_t75" stroked="false">
              <v:imagedata r:id="rId48" o:title=""/>
            </v:shape>
            <v:shape style="position:absolute;left:10058;top:6422;width:5758;height:3802" type="#_x0000_t75" stroked="false">
              <v:imagedata r:id="rId49" o:title=""/>
            </v:shape>
            <v:shape style="position:absolute;left:12038;top:6789;width:1440;height:1556" coordorigin="12038,6790" coordsize="1440,1556" path="m12278,6790l12185,6796,12109,6812,12057,6836,12038,6866,12038,7061,12038,7178,12057,7209,12109,7234,12185,7251,12278,7258,12878,7258,12970,8345,13238,7258,13332,7251,13408,7234,13459,7209,13478,7178,13478,7061,13478,6866,13459,6836,13408,6812,13332,6796,13238,6790,12878,6790,12278,6790xe" filled="false" stroked="true" strokeweight=".72pt" strokecolor="#3366ff">
              <v:path arrowok="t"/>
              <v:stroke dashstyle="solid"/>
            </v:shape>
            <v:shape style="position:absolute;left:69320;top:-57775;width:38980;height:22840" coordorigin="69320,-57774" coordsize="38980,22840" path="m8318,5621l8318,6264,9578,6264,9578,5621,8318,5621xm12929,8333l12929,8362,12996,8362,12996,8333,12929,8333xe" filled="false" stroked="true" strokeweight="1.2pt" strokecolor="#ff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line="244" w:lineRule="auto" w:before="72"/>
        <w:ind w:left="4938" w:right="5584" w:firstLine="0"/>
        <w:jc w:val="center"/>
        <w:rPr>
          <w:rFonts w:ascii="宋体" w:eastAsia="宋体" w:hint="eastAsia"/>
          <w:sz w:val="21"/>
        </w:rPr>
      </w:pPr>
      <w:r>
        <w:rPr>
          <w:rFonts w:ascii="宋体" w:eastAsia="宋体" w:hint="eastAsia"/>
          <w:sz w:val="21"/>
        </w:rPr>
        <w:t>潍坊中汇化工有限公司</w:t>
      </w: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7"/>
        <w:rPr>
          <w:rFonts w:ascii="宋体"/>
          <w:sz w:val="14"/>
        </w:rPr>
      </w:pPr>
    </w:p>
    <w:p>
      <w:pPr>
        <w:spacing w:before="71"/>
        <w:ind w:left="0" w:right="1340" w:firstLine="0"/>
        <w:jc w:val="right"/>
        <w:rPr>
          <w:rFonts w:ascii="宋体" w:eastAsia="宋体" w:hint="eastAsia"/>
          <w:sz w:val="21"/>
        </w:rPr>
      </w:pPr>
      <w:r>
        <w:rPr>
          <w:rFonts w:ascii="宋体" w:eastAsia="宋体" w:hint="eastAsia"/>
          <w:sz w:val="21"/>
        </w:rPr>
        <w:t>中汇化工</w:t>
      </w: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1"/>
        <w:rPr>
          <w:rFonts w:ascii="宋体"/>
          <w:sz w:val="27"/>
        </w:rPr>
      </w:pPr>
    </w:p>
    <w:p>
      <w:pPr>
        <w:tabs>
          <w:tab w:pos="4549" w:val="left" w:leader="none"/>
        </w:tabs>
        <w:spacing w:before="74"/>
        <w:ind w:left="3284" w:right="0" w:firstLine="0"/>
        <w:jc w:val="left"/>
        <w:rPr>
          <w:rFonts w:ascii="宋体" w:eastAsia="宋体" w:hint="eastAsia"/>
          <w:b/>
          <w:sz w:val="24"/>
        </w:rPr>
      </w:pPr>
      <w:r>
        <w:rPr/>
        <w:pict>
          <v:shape style="position:absolute;margin-left:415.673279pt;margin-top:2.442165pt;width:10.6pt;height:11.7pt;mso-position-horizontal-relative:page;mso-position-vertical-relative:paragraph;z-index:-260776960" type="#_x0000_t202" filled="false" stroked="false">
            <v:textbox inset="0,0,0,0">
              <w:txbxContent>
                <w:p>
                  <w:pPr>
                    <w:spacing w:line="234" w:lineRule="exact" w:before="0"/>
                    <w:ind w:left="0" w:right="0" w:firstLine="0"/>
                    <w:jc w:val="left"/>
                    <w:rPr>
                      <w:rFonts w:ascii="Times New Roman"/>
                      <w:sz w:val="21"/>
                    </w:rPr>
                  </w:pPr>
                  <w:r>
                    <w:rPr>
                      <w:rFonts w:ascii="Times New Roman"/>
                      <w:sz w:val="21"/>
                    </w:rPr>
                    <w:t>64</w:t>
                  </w:r>
                </w:p>
              </w:txbxContent>
            </v:textbox>
            <w10:wrap type="none"/>
          </v:shape>
        </w:pict>
      </w:r>
      <w:r>
        <w:rPr>
          <w:rFonts w:ascii="宋体" w:eastAsia="宋体" w:hint="eastAsia"/>
          <w:b/>
          <w:sz w:val="24"/>
        </w:rPr>
        <w:t>附图</w:t>
      </w:r>
      <w:r>
        <w:rPr>
          <w:rFonts w:ascii="宋体" w:eastAsia="宋体" w:hint="eastAsia"/>
          <w:b/>
          <w:spacing w:val="-59"/>
          <w:sz w:val="24"/>
        </w:rPr>
        <w:t> </w:t>
      </w:r>
      <w:r>
        <w:rPr>
          <w:rFonts w:ascii="Times New Roman" w:eastAsia="Times New Roman"/>
          <w:b/>
          <w:sz w:val="24"/>
        </w:rPr>
        <w:t>1</w:t>
        <w:tab/>
      </w:r>
      <w:r>
        <w:rPr>
          <w:rFonts w:ascii="宋体" w:eastAsia="宋体" w:hint="eastAsia"/>
          <w:b/>
          <w:sz w:val="24"/>
        </w:rPr>
        <w:t>潍坊中汇化工有限公司地理位置图</w:t>
      </w:r>
    </w:p>
    <w:p>
      <w:pPr>
        <w:spacing w:after="0"/>
        <w:jc w:val="left"/>
        <w:rPr>
          <w:rFonts w:ascii="宋体" w:eastAsia="宋体" w:hint="eastAsia"/>
          <w:sz w:val="24"/>
        </w:rPr>
        <w:sectPr>
          <w:footerReference w:type="default" r:id="rId46"/>
          <w:pgSz w:w="16840" w:h="11910" w:orient="landscape"/>
          <w:pgMar w:footer="0" w:header="0" w:top="1100" w:bottom="280" w:left="2420" w:right="2420"/>
        </w:sectPr>
      </w:pPr>
    </w:p>
    <w:p>
      <w:pPr>
        <w:pStyle w:val="BodyText"/>
        <w:rPr>
          <w:rFonts w:ascii="宋体"/>
          <w:b/>
          <w:sz w:val="20"/>
        </w:rPr>
      </w:pPr>
      <w:r>
        <w:rPr/>
        <w:pict>
          <v:group style="position:absolute;margin-left:69.480003pt;margin-top:65.639572pt;width:704.8pt;height:500.8pt;mso-position-horizontal-relative:page;mso-position-vertical-relative:page;z-index:-260773888" coordorigin="1390,1313" coordsize="14096,10016">
            <v:line style="position:absolute" from="1390,10649" to="15451,10649" stroked="true" strokeweight=".48pt" strokecolor="#000000">
              <v:stroke dashstyle="solid"/>
            </v:line>
            <v:shape style="position:absolute;left:1418;top:1312;width:13769;height:9629" type="#_x0000_t75" stroked="false">
              <v:imagedata r:id="rId51" o:title=""/>
            </v:shape>
            <v:shape style="position:absolute;left:14325;top:1576;width:1160;height:1140" type="#_x0000_t75" stroked="false">
              <v:imagedata r:id="rId52" o:title=""/>
            </v:shape>
            <v:rect style="position:absolute;left:5896;top:10658;width:5470;height:670" filled="true" fillcolor="#ffffff" stroked="false">
              <v:fill type="solid"/>
            </v:rect>
            <v:shape style="position:absolute;left:37240;top:-74415;width:70760;height:70780" coordorigin="37240,-74414" coordsize="70760,70780" path="m8714,1865l8638,1865,8562,1867,8486,1871,8411,1875,8336,1881,8262,1889,8188,1897,8114,1907,8040,1918,7967,1930,7895,1944,7823,1959,7751,1975,7680,1992,7609,2010,7539,2030,7469,2051,7400,2072,7331,2095,7263,2120,7195,2145,7128,2171,7062,2199,6996,2227,6930,2257,6866,2288,6802,2320,6738,2352,6675,2386,6613,2421,6551,2457,6490,2494,6430,2532,6370,2571,6311,2611,6253,2651,6196,2693,6139,2736,6083,2779,6027,2824,5973,2869,5919,2916,5866,2963,5814,3011,5763,3060,5712,3109,5663,3160,5614,3211,5566,3264,5519,3317,5472,3370,5427,3425,5383,3480,5339,3536,5296,3593,5255,3651,5214,3709,5174,3768,5135,3827,5097,3888,5061,3949,5025,4011,4990,4073,4956,4136,4923,4199,4891,4264,4861,4328,4831,4394,4802,4460,4775,4526,4749,4594,4723,4661,4699,4729,4676,4798,4654,4867,4634,4937,4614,5007,4596,5078,4579,5149,4563,5221,4548,5293,4534,5366,4522,5439,4511,5512,4501,5586,4493,5660,4485,5735,4479,5810,4475,5885,4471,5961,4469,6036,4469,6113,4469,6189,4471,6265,4475,6341,4479,6416,4485,6491,4493,6565,4501,6640,4511,6713,4522,6787,4534,6860,4548,6932,4563,7004,4579,7076,4596,7147,4614,7218,4634,7288,4654,7358,4676,7427,4699,7496,4723,7564,4749,7632,4775,7699,4802,7765,4831,7831,4861,7897,4891,7962,4923,8026,4956,8089,4990,8152,5025,8214,5061,8276,5097,8337,5135,8397,5174,8457,5214,8516,5255,8574,5296,8632,5339,8688,5383,8744,5427,8800,5472,8854,5519,8908,5566,8961,5614,9013,5663,9064,5712,9115,5763,9165,5814,9213,5866,9261,5919,9309,5973,9355,6027,9400,6083,9445,6139,9488,6196,9531,6253,9573,6311,9613,6370,9653,6430,9692,6490,9730,6551,9767,6613,9803,6675,9837,6738,9871,6802,9904,6866,9936,6930,9967,6996,9996,7062,10025,7128,10052,7195,10079,7263,10104,7331,10128,7400,10151,7469,10173,7539,10194,7609,10213,7680,10231,7751,10249,7823,10265,7895,10279,7967,10293,8040,10305,8114,10316,8188,10326,8262,10335,8336,10342,8411,10348,8486,10352,8562,10356,8638,10358,8714,10358,8791,10358,8867,10356,8942,10352,9018,10348,9093,10342,9167,10335,9241,10326,9315,10316,9388,10305,9461,10293,9534,10279,9606,10265,9678,10249,9749,10231,9820,10213,9890,10194,9960,10173,10029,10151,10098,10128,10166,10104,10233,10079,10300,10052,10367,10025,10433,9996,10498,9967,10563,9936,10627,9904,10691,9871,10754,9837,10816,9803,10878,9767,10939,9730,10999,9692,11059,9653,11118,9613,11176,9573,11233,9531,11290,9488,11346,9445,11401,9400,11456,9355,11510,9309,11562,9261,11615,9213,11666,9165,11717,9115,11766,9064,11815,9013,11863,8961,11910,8908,11956,8854,12002,8800,12046,8744,12090,8688,12132,8632,12174,8574,12215,8516,12255,8457,12294,8397,12331,8337,12368,8276,12404,8214,12439,8152,12473,8089,12506,8026,12537,7962,12568,7897,12598,7831,12626,7765,12654,7699,12680,7632,12705,7564,12730,7496,12753,7427,12774,7358,12795,7288,12815,7218,12833,7147,12850,7076,12866,7004,12881,6932,12894,6860,12907,6787,12918,6713,12928,6640,12936,6565,12943,6491,12949,6416,12954,6341,12957,6265,12959,6189,12960,6113,12959,6036,12957,5961,12954,5885,12949,5810,12943,5735,12936,5660,12928,5586,12918,5512,12907,5439,12894,5366,12881,5293,12866,5221,12850,5149,12833,5078,12815,5007,12795,4937,12774,4867,12753,4798,12730,4729,12705,4661,12680,4594,12654,4526,12626,4460,12598,4394,12568,4328,12537,4264,12506,4199,12473,4136,12439,4073,12404,4011,12368,3949,12331,3888,12294,3827,12255,3768,12215,3709,12174,3651,12132,3593,12090,3536,12046,3480,12002,3425,11956,3370,11910,3317,11863,3264,11815,3211,11766,3160,11717,3109,11666,3060,11615,3011,11562,2963,11510,2916,11456,2869,11401,2824,11346,2779,11290,2736,11233,2693,11176,2651,11118,2611,11059,2571,10999,2532,10939,2494,10878,2457,10816,2421,10754,2386,10691,2352,10627,2320,10563,2288,10498,2257,10433,2227,10367,2199,10300,2171,10233,2145,10166,2120,10098,2095,10029,2072,9960,2051,9890,2030,9820,2010,9749,1992,9678,1975,9606,1959,9534,1944,9461,1930,9388,1918,9315,1907,9241,1897,9167,1889,9093,1881,9018,1875,8942,1871,8867,1867,8791,1865,8714,1865m4469,6113l12960,6113m8714,1865l8714,10358e" filled="false" stroked="true" strokeweight="1.2pt" strokecolor="#ff0000">
              <v:path arrowok="t"/>
              <v:stroke dashstyle="solid"/>
            </v:shape>
            <w10:wrap type="none"/>
          </v:group>
        </w:pict>
      </w: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spacing w:before="7"/>
        <w:rPr>
          <w:rFonts w:ascii="宋体"/>
          <w:b/>
          <w:sz w:val="18"/>
        </w:rPr>
      </w:pPr>
    </w:p>
    <w:p>
      <w:pPr>
        <w:tabs>
          <w:tab w:pos="1932" w:val="left" w:leader="none"/>
        </w:tabs>
        <w:spacing w:before="28"/>
        <w:ind w:left="427" w:right="0" w:firstLine="0"/>
        <w:jc w:val="center"/>
        <w:rPr>
          <w:rFonts w:ascii="微软雅黑" w:eastAsia="微软雅黑" w:hint="eastAsia"/>
          <w:b/>
          <w:sz w:val="28"/>
        </w:rPr>
      </w:pPr>
      <w:r>
        <w:rPr/>
        <w:pict>
          <v:shape style="position:absolute;margin-left:415.673279pt;margin-top:-7.412977pt;width:10.6pt;height:11.7pt;mso-position-horizontal-relative:page;mso-position-vertical-relative:paragraph;z-index:-260774912" type="#_x0000_t202" filled="false" stroked="false">
            <v:textbox inset="0,0,0,0">
              <w:txbxContent>
                <w:p>
                  <w:pPr>
                    <w:spacing w:line="234" w:lineRule="exact" w:before="0"/>
                    <w:ind w:left="0" w:right="0" w:firstLine="0"/>
                    <w:jc w:val="left"/>
                    <w:rPr>
                      <w:rFonts w:ascii="Times New Roman"/>
                      <w:sz w:val="21"/>
                    </w:rPr>
                  </w:pPr>
                  <w:r>
                    <w:rPr>
                      <w:rFonts w:ascii="Times New Roman"/>
                      <w:sz w:val="21"/>
                    </w:rPr>
                    <w:t>65</w:t>
                  </w:r>
                </w:p>
              </w:txbxContent>
            </v:textbox>
            <w10:wrap type="none"/>
          </v:shape>
        </w:pict>
      </w:r>
      <w:r>
        <w:rPr>
          <w:rFonts w:ascii="微软雅黑" w:eastAsia="微软雅黑" w:hint="eastAsia"/>
          <w:b/>
          <w:sz w:val="28"/>
        </w:rPr>
        <w:t>附图</w:t>
      </w:r>
      <w:r>
        <w:rPr>
          <w:rFonts w:ascii="微软雅黑" w:eastAsia="微软雅黑" w:hint="eastAsia"/>
          <w:b/>
          <w:spacing w:val="-14"/>
          <w:sz w:val="28"/>
        </w:rPr>
        <w:t> </w:t>
      </w:r>
      <w:r>
        <w:rPr>
          <w:rFonts w:ascii="微软雅黑" w:eastAsia="微软雅黑" w:hint="eastAsia"/>
          <w:b/>
          <w:sz w:val="28"/>
        </w:rPr>
        <w:t>2</w:t>
        <w:tab/>
        <w:t>3km</w:t>
      </w:r>
      <w:r>
        <w:rPr>
          <w:rFonts w:ascii="微软雅黑" w:eastAsia="微软雅黑" w:hint="eastAsia"/>
          <w:b/>
          <w:spacing w:val="-17"/>
          <w:sz w:val="28"/>
        </w:rPr>
        <w:t> </w:t>
      </w:r>
      <w:r>
        <w:rPr>
          <w:rFonts w:ascii="微软雅黑" w:eastAsia="微软雅黑" w:hint="eastAsia"/>
          <w:b/>
          <w:sz w:val="28"/>
        </w:rPr>
        <w:t>范围内</w:t>
      </w:r>
      <w:r>
        <w:rPr>
          <w:rFonts w:ascii="微软雅黑" w:eastAsia="微软雅黑" w:hint="eastAsia"/>
          <w:b/>
          <w:spacing w:val="-3"/>
          <w:sz w:val="28"/>
        </w:rPr>
        <w:t>环</w:t>
      </w:r>
      <w:r>
        <w:rPr>
          <w:rFonts w:ascii="微软雅黑" w:eastAsia="微软雅黑" w:hint="eastAsia"/>
          <w:b/>
          <w:sz w:val="28"/>
        </w:rPr>
        <w:t>境风</w:t>
      </w:r>
      <w:r>
        <w:rPr>
          <w:rFonts w:ascii="微软雅黑" w:eastAsia="微软雅黑" w:hint="eastAsia"/>
          <w:b/>
          <w:spacing w:val="-3"/>
          <w:sz w:val="28"/>
        </w:rPr>
        <w:t>险受</w:t>
      </w:r>
      <w:r>
        <w:rPr>
          <w:rFonts w:ascii="微软雅黑" w:eastAsia="微软雅黑" w:hint="eastAsia"/>
          <w:b/>
          <w:sz w:val="28"/>
        </w:rPr>
        <w:t>体图</w:t>
      </w:r>
    </w:p>
    <w:p>
      <w:pPr>
        <w:spacing w:after="0"/>
        <w:jc w:val="center"/>
        <w:rPr>
          <w:rFonts w:ascii="微软雅黑" w:eastAsia="微软雅黑" w:hint="eastAsia"/>
          <w:sz w:val="28"/>
        </w:rPr>
        <w:sectPr>
          <w:footerReference w:type="default" r:id="rId50"/>
          <w:pgSz w:w="16840" w:h="11910" w:orient="landscape"/>
          <w:pgMar w:footer="0" w:header="0" w:top="1100" w:bottom="280" w:left="2420" w:right="2420"/>
        </w:sectPr>
      </w:pPr>
    </w:p>
    <w:p>
      <w:pPr>
        <w:pStyle w:val="BodyText"/>
        <w:rPr>
          <w:rFonts w:ascii="微软雅黑"/>
          <w:b/>
          <w:sz w:val="20"/>
        </w:rPr>
      </w:pPr>
      <w:r>
        <w:rPr/>
        <w:pict>
          <v:line style="position:absolute;mso-position-horizontal-relative:page;mso-position-vertical-relative:page;z-index:251751424" from="41.16pt,532.439575pt" to="801.0pt,532.439575pt" stroked="true" strokeweight=".48pt" strokecolor="#000000">
            <v:stroke dashstyle="solid"/>
            <w10:wrap type="none"/>
          </v:line>
        </w:pict>
      </w:r>
    </w:p>
    <w:p>
      <w:pPr>
        <w:pStyle w:val="BodyText"/>
        <w:spacing w:before="16"/>
        <w:rPr>
          <w:rFonts w:ascii="微软雅黑"/>
          <w:b/>
          <w:sz w:val="10"/>
        </w:rPr>
      </w:pPr>
    </w:p>
    <w:p>
      <w:pPr>
        <w:tabs>
          <w:tab w:pos="5473" w:val="left" w:leader="none"/>
        </w:tabs>
        <w:spacing w:before="61"/>
        <w:ind w:left="4136" w:right="0" w:firstLine="0"/>
        <w:jc w:val="left"/>
        <w:rPr>
          <w:b/>
          <w:sz w:val="28"/>
        </w:rPr>
      </w:pPr>
      <w:r>
        <w:rPr>
          <w:b/>
          <w:sz w:val="28"/>
        </w:rPr>
        <w:t>附图</w:t>
      </w:r>
      <w:r>
        <w:rPr>
          <w:b/>
          <w:spacing w:val="-72"/>
          <w:sz w:val="28"/>
        </w:rPr>
        <w:t> </w:t>
      </w:r>
      <w:r>
        <w:rPr>
          <w:b/>
          <w:sz w:val="28"/>
        </w:rPr>
        <w:t>3</w:t>
        <w:tab/>
        <w:t>项目平面布置及雨水走向图</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2"/>
        </w:rPr>
      </w:pPr>
    </w:p>
    <w:p>
      <w:pPr>
        <w:spacing w:before="92"/>
        <w:ind w:left="4938" w:right="4938" w:firstLine="0"/>
        <w:jc w:val="center"/>
        <w:rPr>
          <w:rFonts w:ascii="Times New Roman"/>
          <w:sz w:val="21"/>
        </w:rPr>
      </w:pPr>
      <w:r>
        <w:rPr>
          <w:rFonts w:ascii="Times New Roman"/>
          <w:sz w:val="21"/>
        </w:rPr>
        <w:t>66</w:t>
      </w:r>
    </w:p>
    <w:p>
      <w:pPr>
        <w:spacing w:after="0"/>
        <w:jc w:val="center"/>
        <w:rPr>
          <w:rFonts w:ascii="Times New Roman"/>
          <w:sz w:val="21"/>
        </w:rPr>
        <w:sectPr>
          <w:footerReference w:type="default" r:id="rId53"/>
          <w:pgSz w:w="16840" w:h="11910" w:orient="landscape"/>
          <w:pgMar w:footer="0" w:header="0" w:top="1100" w:bottom="280" w:left="2420" w:right="2420"/>
        </w:sectPr>
      </w:pPr>
    </w:p>
    <w:p>
      <w:pPr>
        <w:spacing w:before="34"/>
        <w:ind w:left="212" w:right="0" w:firstLine="0"/>
        <w:jc w:val="left"/>
        <w:rPr>
          <w:b/>
          <w:sz w:val="28"/>
        </w:rPr>
      </w:pPr>
      <w:r>
        <w:rPr>
          <w:b/>
          <w:sz w:val="28"/>
        </w:rPr>
        <w:t>附件 4：应急通讯</w:t>
      </w:r>
    </w:p>
    <w:p>
      <w:pPr>
        <w:spacing w:before="186"/>
        <w:ind w:left="4256" w:right="0" w:firstLine="0"/>
        <w:jc w:val="left"/>
        <w:rPr>
          <w:b/>
          <w:sz w:val="28"/>
        </w:rPr>
      </w:pPr>
      <w:r>
        <w:rPr>
          <w:b/>
          <w:sz w:val="28"/>
        </w:rPr>
        <w:t>内部应急联络通讯录</w:t>
      </w:r>
    </w:p>
    <w:p>
      <w:pPr>
        <w:pStyle w:val="BodyText"/>
        <w:spacing w:before="8"/>
        <w:rPr>
          <w:b/>
          <w:sz w:val="14"/>
        </w:rPr>
      </w:pPr>
    </w:p>
    <w:tbl>
      <w:tblPr>
        <w:tblW w:w="0" w:type="auto"/>
        <w:jc w:val="left"/>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1740"/>
        <w:gridCol w:w="1579"/>
        <w:gridCol w:w="2402"/>
        <w:gridCol w:w="2143"/>
      </w:tblGrid>
      <w:tr>
        <w:trPr>
          <w:trHeight w:val="544" w:hRule="atLeast"/>
        </w:trPr>
        <w:tc>
          <w:tcPr>
            <w:tcW w:w="761" w:type="dxa"/>
          </w:tcPr>
          <w:p>
            <w:pPr>
              <w:pStyle w:val="TableParagraph"/>
              <w:spacing w:before="158"/>
              <w:ind w:left="119" w:right="112"/>
              <w:rPr>
                <w:sz w:val="24"/>
              </w:rPr>
            </w:pPr>
            <w:r>
              <w:rPr>
                <w:sz w:val="24"/>
              </w:rPr>
              <w:t>序号</w:t>
            </w:r>
          </w:p>
        </w:tc>
        <w:tc>
          <w:tcPr>
            <w:tcW w:w="1740" w:type="dxa"/>
          </w:tcPr>
          <w:p>
            <w:pPr>
              <w:pStyle w:val="TableParagraph"/>
              <w:spacing w:before="158"/>
              <w:ind w:left="488" w:right="482"/>
              <w:rPr>
                <w:sz w:val="24"/>
              </w:rPr>
            </w:pPr>
            <w:r>
              <w:rPr>
                <w:sz w:val="24"/>
              </w:rPr>
              <w:t>姓名</w:t>
            </w:r>
          </w:p>
        </w:tc>
        <w:tc>
          <w:tcPr>
            <w:tcW w:w="1579" w:type="dxa"/>
          </w:tcPr>
          <w:p>
            <w:pPr>
              <w:pStyle w:val="TableParagraph"/>
              <w:spacing w:before="158"/>
              <w:ind w:left="289" w:right="280"/>
              <w:rPr>
                <w:sz w:val="24"/>
              </w:rPr>
            </w:pPr>
            <w:r>
              <w:rPr>
                <w:sz w:val="24"/>
              </w:rPr>
              <w:t>职务</w:t>
            </w:r>
          </w:p>
        </w:tc>
        <w:tc>
          <w:tcPr>
            <w:tcW w:w="2402" w:type="dxa"/>
          </w:tcPr>
          <w:p>
            <w:pPr>
              <w:pStyle w:val="TableParagraph"/>
              <w:spacing w:before="158"/>
              <w:ind w:left="400" w:right="392"/>
              <w:rPr>
                <w:sz w:val="24"/>
              </w:rPr>
            </w:pPr>
            <w:r>
              <w:rPr>
                <w:sz w:val="24"/>
              </w:rPr>
              <w:t>单位电话/手机</w:t>
            </w:r>
          </w:p>
        </w:tc>
        <w:tc>
          <w:tcPr>
            <w:tcW w:w="2143" w:type="dxa"/>
          </w:tcPr>
          <w:p>
            <w:pPr>
              <w:pStyle w:val="TableParagraph"/>
              <w:spacing w:before="158"/>
              <w:ind w:left="333" w:right="320"/>
              <w:rPr>
                <w:sz w:val="24"/>
              </w:rPr>
            </w:pPr>
            <w:r>
              <w:rPr>
                <w:sz w:val="24"/>
              </w:rPr>
              <w:t>备用联系方式</w:t>
            </w:r>
          </w:p>
        </w:tc>
      </w:tr>
      <w:tr>
        <w:trPr>
          <w:trHeight w:val="496" w:hRule="atLeast"/>
        </w:trPr>
        <w:tc>
          <w:tcPr>
            <w:tcW w:w="761" w:type="dxa"/>
          </w:tcPr>
          <w:p>
            <w:pPr>
              <w:pStyle w:val="TableParagraph"/>
              <w:spacing w:before="91"/>
              <w:ind w:left="7"/>
              <w:rPr>
                <w:sz w:val="24"/>
              </w:rPr>
            </w:pPr>
            <w:r>
              <w:rPr>
                <w:sz w:val="24"/>
              </w:rPr>
              <w:t>1</w:t>
            </w:r>
          </w:p>
        </w:tc>
        <w:tc>
          <w:tcPr>
            <w:tcW w:w="1740" w:type="dxa"/>
          </w:tcPr>
          <w:p>
            <w:pPr>
              <w:pStyle w:val="TableParagraph"/>
              <w:spacing w:before="91"/>
              <w:ind w:left="488" w:right="482"/>
              <w:rPr>
                <w:sz w:val="24"/>
              </w:rPr>
            </w:pPr>
            <w:r>
              <w:rPr>
                <w:sz w:val="24"/>
              </w:rPr>
              <w:t>吕学府</w:t>
            </w:r>
          </w:p>
        </w:tc>
        <w:tc>
          <w:tcPr>
            <w:tcW w:w="1579" w:type="dxa"/>
          </w:tcPr>
          <w:p>
            <w:pPr>
              <w:pStyle w:val="TableParagraph"/>
              <w:spacing w:before="91"/>
              <w:ind w:left="289" w:right="280"/>
              <w:rPr>
                <w:sz w:val="24"/>
              </w:rPr>
            </w:pPr>
            <w:r>
              <w:rPr>
                <w:sz w:val="24"/>
              </w:rPr>
              <w:t>总经理</w:t>
            </w:r>
          </w:p>
        </w:tc>
        <w:tc>
          <w:tcPr>
            <w:tcW w:w="2402" w:type="dxa"/>
          </w:tcPr>
          <w:p>
            <w:pPr>
              <w:pStyle w:val="TableParagraph"/>
              <w:spacing w:before="91"/>
              <w:ind w:left="400" w:right="392"/>
              <w:rPr>
                <w:sz w:val="24"/>
              </w:rPr>
            </w:pPr>
            <w:r>
              <w:rPr>
                <w:sz w:val="24"/>
              </w:rPr>
              <w:t>18805365908</w:t>
            </w:r>
          </w:p>
        </w:tc>
        <w:tc>
          <w:tcPr>
            <w:tcW w:w="2143" w:type="dxa"/>
          </w:tcPr>
          <w:p>
            <w:pPr>
              <w:pStyle w:val="TableParagraph"/>
              <w:spacing w:before="91"/>
              <w:ind w:left="333" w:right="320"/>
              <w:rPr>
                <w:sz w:val="24"/>
              </w:rPr>
            </w:pPr>
            <w:r>
              <w:rPr>
                <w:sz w:val="24"/>
              </w:rPr>
              <w:t>2203818</w:t>
            </w:r>
          </w:p>
        </w:tc>
      </w:tr>
      <w:tr>
        <w:trPr>
          <w:trHeight w:val="494" w:hRule="atLeast"/>
        </w:trPr>
        <w:tc>
          <w:tcPr>
            <w:tcW w:w="761" w:type="dxa"/>
          </w:tcPr>
          <w:p>
            <w:pPr>
              <w:pStyle w:val="TableParagraph"/>
              <w:spacing w:before="91"/>
              <w:ind w:left="7"/>
              <w:rPr>
                <w:sz w:val="24"/>
              </w:rPr>
            </w:pPr>
            <w:r>
              <w:rPr>
                <w:sz w:val="24"/>
              </w:rPr>
              <w:t>2</w:t>
            </w:r>
          </w:p>
        </w:tc>
        <w:tc>
          <w:tcPr>
            <w:tcW w:w="1740" w:type="dxa"/>
          </w:tcPr>
          <w:p>
            <w:pPr>
              <w:pStyle w:val="TableParagraph"/>
              <w:spacing w:before="91"/>
              <w:ind w:left="488" w:right="482"/>
              <w:rPr>
                <w:sz w:val="24"/>
              </w:rPr>
            </w:pPr>
            <w:r>
              <w:rPr>
                <w:sz w:val="24"/>
              </w:rPr>
              <w:t>李华青</w:t>
            </w:r>
          </w:p>
        </w:tc>
        <w:tc>
          <w:tcPr>
            <w:tcW w:w="1579" w:type="dxa"/>
          </w:tcPr>
          <w:p>
            <w:pPr>
              <w:pStyle w:val="TableParagraph"/>
              <w:spacing w:before="91"/>
              <w:ind w:left="289" w:right="280"/>
              <w:rPr>
                <w:sz w:val="24"/>
              </w:rPr>
            </w:pPr>
            <w:r>
              <w:rPr>
                <w:sz w:val="24"/>
              </w:rPr>
              <w:t>副总经理</w:t>
            </w:r>
          </w:p>
        </w:tc>
        <w:tc>
          <w:tcPr>
            <w:tcW w:w="2402" w:type="dxa"/>
          </w:tcPr>
          <w:p>
            <w:pPr>
              <w:pStyle w:val="TableParagraph"/>
              <w:spacing w:before="91"/>
              <w:ind w:left="400" w:right="392"/>
              <w:rPr>
                <w:sz w:val="24"/>
              </w:rPr>
            </w:pPr>
            <w:r>
              <w:rPr>
                <w:sz w:val="24"/>
              </w:rPr>
              <w:t>13583637866</w:t>
            </w:r>
          </w:p>
        </w:tc>
        <w:tc>
          <w:tcPr>
            <w:tcW w:w="2143" w:type="dxa"/>
          </w:tcPr>
          <w:p>
            <w:pPr>
              <w:pStyle w:val="TableParagraph"/>
              <w:spacing w:before="91"/>
              <w:ind w:left="333" w:right="320"/>
              <w:rPr>
                <w:sz w:val="24"/>
              </w:rPr>
            </w:pPr>
            <w:r>
              <w:rPr>
                <w:sz w:val="24"/>
              </w:rPr>
              <w:t>2203818</w:t>
            </w:r>
          </w:p>
        </w:tc>
      </w:tr>
      <w:tr>
        <w:trPr>
          <w:trHeight w:val="496" w:hRule="atLeast"/>
        </w:trPr>
        <w:tc>
          <w:tcPr>
            <w:tcW w:w="761" w:type="dxa"/>
          </w:tcPr>
          <w:p>
            <w:pPr>
              <w:pStyle w:val="TableParagraph"/>
              <w:spacing w:before="91"/>
              <w:ind w:left="7"/>
              <w:rPr>
                <w:sz w:val="24"/>
              </w:rPr>
            </w:pPr>
            <w:r>
              <w:rPr>
                <w:sz w:val="24"/>
              </w:rPr>
              <w:t>3</w:t>
            </w:r>
          </w:p>
        </w:tc>
        <w:tc>
          <w:tcPr>
            <w:tcW w:w="1740" w:type="dxa"/>
          </w:tcPr>
          <w:p>
            <w:pPr>
              <w:pStyle w:val="TableParagraph"/>
              <w:spacing w:before="91"/>
              <w:ind w:left="488" w:right="482"/>
              <w:rPr>
                <w:sz w:val="24"/>
              </w:rPr>
            </w:pPr>
            <w:r>
              <w:rPr>
                <w:sz w:val="24"/>
              </w:rPr>
              <w:t>李国明</w:t>
            </w:r>
          </w:p>
        </w:tc>
        <w:tc>
          <w:tcPr>
            <w:tcW w:w="1579" w:type="dxa"/>
          </w:tcPr>
          <w:p>
            <w:pPr>
              <w:pStyle w:val="TableParagraph"/>
              <w:spacing w:before="91"/>
              <w:ind w:left="289" w:right="280"/>
              <w:rPr>
                <w:sz w:val="24"/>
              </w:rPr>
            </w:pPr>
            <w:r>
              <w:rPr>
                <w:sz w:val="24"/>
              </w:rPr>
              <w:t>队长</w:t>
            </w:r>
          </w:p>
        </w:tc>
        <w:tc>
          <w:tcPr>
            <w:tcW w:w="2402" w:type="dxa"/>
          </w:tcPr>
          <w:p>
            <w:pPr>
              <w:pStyle w:val="TableParagraph"/>
              <w:spacing w:before="91"/>
              <w:ind w:left="400" w:right="392"/>
              <w:rPr>
                <w:sz w:val="24"/>
              </w:rPr>
            </w:pPr>
            <w:r>
              <w:rPr>
                <w:sz w:val="24"/>
              </w:rPr>
              <w:t>15066708256</w:t>
            </w:r>
          </w:p>
        </w:tc>
        <w:tc>
          <w:tcPr>
            <w:tcW w:w="2143" w:type="dxa"/>
          </w:tcPr>
          <w:p>
            <w:pPr>
              <w:pStyle w:val="TableParagraph"/>
              <w:spacing w:before="91"/>
              <w:ind w:left="333" w:right="320"/>
              <w:rPr>
                <w:sz w:val="24"/>
              </w:rPr>
            </w:pPr>
            <w:r>
              <w:rPr>
                <w:sz w:val="24"/>
              </w:rPr>
              <w:t>2203818</w:t>
            </w:r>
          </w:p>
        </w:tc>
      </w:tr>
      <w:tr>
        <w:trPr>
          <w:trHeight w:val="494" w:hRule="atLeast"/>
        </w:trPr>
        <w:tc>
          <w:tcPr>
            <w:tcW w:w="761" w:type="dxa"/>
          </w:tcPr>
          <w:p>
            <w:pPr>
              <w:pStyle w:val="TableParagraph"/>
              <w:spacing w:before="91"/>
              <w:ind w:left="7"/>
              <w:rPr>
                <w:sz w:val="24"/>
              </w:rPr>
            </w:pPr>
            <w:r>
              <w:rPr>
                <w:sz w:val="24"/>
              </w:rPr>
              <w:t>4</w:t>
            </w:r>
          </w:p>
        </w:tc>
        <w:tc>
          <w:tcPr>
            <w:tcW w:w="1740" w:type="dxa"/>
          </w:tcPr>
          <w:p>
            <w:pPr>
              <w:pStyle w:val="TableParagraph"/>
              <w:spacing w:before="91"/>
              <w:ind w:left="488" w:right="482"/>
              <w:rPr>
                <w:sz w:val="24"/>
              </w:rPr>
            </w:pPr>
            <w:r>
              <w:rPr>
                <w:sz w:val="24"/>
              </w:rPr>
              <w:t>庞鹏</w:t>
            </w:r>
          </w:p>
        </w:tc>
        <w:tc>
          <w:tcPr>
            <w:tcW w:w="1579" w:type="dxa"/>
          </w:tcPr>
          <w:p>
            <w:pPr>
              <w:pStyle w:val="TableParagraph"/>
              <w:spacing w:before="91"/>
              <w:ind w:left="289" w:right="280"/>
              <w:rPr>
                <w:sz w:val="24"/>
              </w:rPr>
            </w:pPr>
            <w:r>
              <w:rPr>
                <w:sz w:val="24"/>
              </w:rPr>
              <w:t>队长</w:t>
            </w:r>
          </w:p>
        </w:tc>
        <w:tc>
          <w:tcPr>
            <w:tcW w:w="2402" w:type="dxa"/>
          </w:tcPr>
          <w:p>
            <w:pPr>
              <w:pStyle w:val="TableParagraph"/>
              <w:spacing w:before="91"/>
              <w:ind w:left="400" w:right="392"/>
              <w:rPr>
                <w:sz w:val="24"/>
              </w:rPr>
            </w:pPr>
            <w:r>
              <w:rPr>
                <w:sz w:val="24"/>
              </w:rPr>
              <w:t>15095097288</w:t>
            </w:r>
          </w:p>
        </w:tc>
        <w:tc>
          <w:tcPr>
            <w:tcW w:w="2143" w:type="dxa"/>
          </w:tcPr>
          <w:p>
            <w:pPr>
              <w:pStyle w:val="TableParagraph"/>
              <w:spacing w:before="91"/>
              <w:ind w:left="333" w:right="320"/>
              <w:rPr>
                <w:sz w:val="24"/>
              </w:rPr>
            </w:pPr>
            <w:r>
              <w:rPr>
                <w:sz w:val="24"/>
              </w:rPr>
              <w:t>2203818</w:t>
            </w:r>
          </w:p>
        </w:tc>
      </w:tr>
      <w:tr>
        <w:trPr>
          <w:trHeight w:val="494" w:hRule="atLeast"/>
        </w:trPr>
        <w:tc>
          <w:tcPr>
            <w:tcW w:w="761" w:type="dxa"/>
          </w:tcPr>
          <w:p>
            <w:pPr>
              <w:pStyle w:val="TableParagraph"/>
              <w:spacing w:before="91"/>
              <w:ind w:left="7"/>
              <w:rPr>
                <w:sz w:val="24"/>
              </w:rPr>
            </w:pPr>
            <w:r>
              <w:rPr>
                <w:sz w:val="24"/>
              </w:rPr>
              <w:t>5</w:t>
            </w:r>
          </w:p>
        </w:tc>
        <w:tc>
          <w:tcPr>
            <w:tcW w:w="1740" w:type="dxa"/>
          </w:tcPr>
          <w:p>
            <w:pPr>
              <w:pStyle w:val="TableParagraph"/>
              <w:spacing w:before="91"/>
              <w:ind w:left="488" w:right="482"/>
              <w:rPr>
                <w:sz w:val="24"/>
              </w:rPr>
            </w:pPr>
            <w:r>
              <w:rPr>
                <w:sz w:val="24"/>
              </w:rPr>
              <w:t>李丰泉</w:t>
            </w:r>
          </w:p>
        </w:tc>
        <w:tc>
          <w:tcPr>
            <w:tcW w:w="1579" w:type="dxa"/>
          </w:tcPr>
          <w:p>
            <w:pPr>
              <w:pStyle w:val="TableParagraph"/>
              <w:spacing w:before="91"/>
              <w:ind w:left="289" w:right="280"/>
              <w:rPr>
                <w:sz w:val="24"/>
              </w:rPr>
            </w:pPr>
            <w:r>
              <w:rPr>
                <w:sz w:val="24"/>
              </w:rPr>
              <w:t>队长</w:t>
            </w:r>
          </w:p>
        </w:tc>
        <w:tc>
          <w:tcPr>
            <w:tcW w:w="2402" w:type="dxa"/>
          </w:tcPr>
          <w:p>
            <w:pPr>
              <w:pStyle w:val="TableParagraph"/>
              <w:spacing w:before="91"/>
              <w:ind w:left="400" w:right="392"/>
              <w:rPr>
                <w:sz w:val="24"/>
              </w:rPr>
            </w:pPr>
            <w:r>
              <w:rPr>
                <w:sz w:val="24"/>
              </w:rPr>
              <w:t>15153691577</w:t>
            </w:r>
          </w:p>
        </w:tc>
        <w:tc>
          <w:tcPr>
            <w:tcW w:w="2143" w:type="dxa"/>
          </w:tcPr>
          <w:p>
            <w:pPr>
              <w:pStyle w:val="TableParagraph"/>
              <w:spacing w:before="91"/>
              <w:ind w:left="333" w:right="320"/>
              <w:rPr>
                <w:sz w:val="24"/>
              </w:rPr>
            </w:pPr>
            <w:r>
              <w:rPr>
                <w:sz w:val="24"/>
              </w:rPr>
              <w:t>2203818</w:t>
            </w:r>
          </w:p>
        </w:tc>
      </w:tr>
      <w:tr>
        <w:trPr>
          <w:trHeight w:val="496" w:hRule="atLeast"/>
        </w:trPr>
        <w:tc>
          <w:tcPr>
            <w:tcW w:w="761" w:type="dxa"/>
          </w:tcPr>
          <w:p>
            <w:pPr>
              <w:pStyle w:val="TableParagraph"/>
              <w:spacing w:before="91"/>
              <w:ind w:left="7"/>
              <w:rPr>
                <w:sz w:val="24"/>
              </w:rPr>
            </w:pPr>
            <w:r>
              <w:rPr>
                <w:sz w:val="24"/>
              </w:rPr>
              <w:t>6</w:t>
            </w:r>
          </w:p>
        </w:tc>
        <w:tc>
          <w:tcPr>
            <w:tcW w:w="1740" w:type="dxa"/>
          </w:tcPr>
          <w:p>
            <w:pPr>
              <w:pStyle w:val="TableParagraph"/>
              <w:spacing w:before="91"/>
              <w:ind w:left="488" w:right="482"/>
              <w:rPr>
                <w:sz w:val="24"/>
              </w:rPr>
            </w:pPr>
            <w:r>
              <w:rPr>
                <w:sz w:val="24"/>
              </w:rPr>
              <w:t>邹建锋</w:t>
            </w:r>
          </w:p>
        </w:tc>
        <w:tc>
          <w:tcPr>
            <w:tcW w:w="1579" w:type="dxa"/>
          </w:tcPr>
          <w:p>
            <w:pPr>
              <w:pStyle w:val="TableParagraph"/>
              <w:spacing w:before="91"/>
              <w:ind w:left="289" w:right="280"/>
              <w:rPr>
                <w:sz w:val="24"/>
              </w:rPr>
            </w:pPr>
            <w:r>
              <w:rPr>
                <w:sz w:val="24"/>
              </w:rPr>
              <w:t>队长</w:t>
            </w:r>
          </w:p>
        </w:tc>
        <w:tc>
          <w:tcPr>
            <w:tcW w:w="2402" w:type="dxa"/>
          </w:tcPr>
          <w:p>
            <w:pPr>
              <w:pStyle w:val="TableParagraph"/>
              <w:spacing w:before="91"/>
              <w:ind w:left="400" w:right="392"/>
              <w:rPr>
                <w:sz w:val="24"/>
              </w:rPr>
            </w:pPr>
            <w:r>
              <w:rPr>
                <w:sz w:val="24"/>
              </w:rPr>
              <w:t>18863636587</w:t>
            </w:r>
          </w:p>
        </w:tc>
        <w:tc>
          <w:tcPr>
            <w:tcW w:w="2143" w:type="dxa"/>
          </w:tcPr>
          <w:p>
            <w:pPr>
              <w:pStyle w:val="TableParagraph"/>
              <w:spacing w:before="91"/>
              <w:ind w:left="333" w:right="320"/>
              <w:rPr>
                <w:sz w:val="24"/>
              </w:rPr>
            </w:pPr>
            <w:r>
              <w:rPr>
                <w:sz w:val="24"/>
              </w:rPr>
              <w:t>2203818</w:t>
            </w:r>
          </w:p>
        </w:tc>
      </w:tr>
      <w:tr>
        <w:trPr>
          <w:trHeight w:val="494" w:hRule="atLeast"/>
        </w:trPr>
        <w:tc>
          <w:tcPr>
            <w:tcW w:w="761" w:type="dxa"/>
          </w:tcPr>
          <w:p>
            <w:pPr>
              <w:pStyle w:val="TableParagraph"/>
              <w:spacing w:before="91"/>
              <w:ind w:left="7"/>
              <w:rPr>
                <w:sz w:val="24"/>
              </w:rPr>
            </w:pPr>
            <w:r>
              <w:rPr>
                <w:sz w:val="24"/>
              </w:rPr>
              <w:t>7</w:t>
            </w:r>
          </w:p>
        </w:tc>
        <w:tc>
          <w:tcPr>
            <w:tcW w:w="1740" w:type="dxa"/>
          </w:tcPr>
          <w:p>
            <w:pPr>
              <w:pStyle w:val="TableParagraph"/>
              <w:spacing w:before="91"/>
              <w:ind w:left="488" w:right="482"/>
              <w:rPr>
                <w:sz w:val="24"/>
              </w:rPr>
            </w:pPr>
            <w:r>
              <w:rPr>
                <w:sz w:val="24"/>
              </w:rPr>
              <w:t>傅鹏远</w:t>
            </w:r>
          </w:p>
        </w:tc>
        <w:tc>
          <w:tcPr>
            <w:tcW w:w="1579" w:type="dxa"/>
          </w:tcPr>
          <w:p>
            <w:pPr>
              <w:pStyle w:val="TableParagraph"/>
              <w:spacing w:before="91"/>
              <w:ind w:left="289" w:right="280"/>
              <w:rPr>
                <w:sz w:val="24"/>
              </w:rPr>
            </w:pPr>
            <w:r>
              <w:rPr>
                <w:sz w:val="24"/>
              </w:rPr>
              <w:t>队长</w:t>
            </w:r>
          </w:p>
        </w:tc>
        <w:tc>
          <w:tcPr>
            <w:tcW w:w="2402" w:type="dxa"/>
          </w:tcPr>
          <w:p>
            <w:pPr>
              <w:pStyle w:val="TableParagraph"/>
              <w:spacing w:before="91"/>
              <w:ind w:left="400" w:right="392"/>
              <w:rPr>
                <w:sz w:val="24"/>
              </w:rPr>
            </w:pPr>
            <w:r>
              <w:rPr>
                <w:sz w:val="24"/>
              </w:rPr>
              <w:t>13562678060</w:t>
            </w:r>
          </w:p>
        </w:tc>
        <w:tc>
          <w:tcPr>
            <w:tcW w:w="2143" w:type="dxa"/>
          </w:tcPr>
          <w:p>
            <w:pPr>
              <w:pStyle w:val="TableParagraph"/>
              <w:spacing w:before="91"/>
              <w:ind w:left="333" w:right="320"/>
              <w:rPr>
                <w:sz w:val="24"/>
              </w:rPr>
            </w:pPr>
            <w:r>
              <w:rPr>
                <w:sz w:val="24"/>
              </w:rPr>
              <w:t>2203818</w:t>
            </w:r>
          </w:p>
        </w:tc>
      </w:tr>
    </w:tbl>
    <w:p>
      <w:pPr>
        <w:spacing w:line="357" w:lineRule="exact" w:before="0"/>
        <w:ind w:left="2904" w:right="2448" w:firstLine="0"/>
        <w:jc w:val="center"/>
        <w:rPr>
          <w:b/>
          <w:sz w:val="28"/>
        </w:rPr>
      </w:pPr>
      <w:r>
        <w:rPr>
          <w:b/>
          <w:sz w:val="28"/>
        </w:rPr>
        <w:t>周边参与应急救援部门的联络电话</w:t>
      </w:r>
    </w:p>
    <w:p>
      <w:pPr>
        <w:pStyle w:val="BodyText"/>
        <w:spacing w:before="8"/>
        <w:rPr>
          <w:b/>
          <w:sz w:val="14"/>
        </w:rPr>
      </w:pPr>
    </w:p>
    <w:tbl>
      <w:tblPr>
        <w:tblW w:w="0" w:type="auto"/>
        <w:jc w:val="left"/>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5"/>
        <w:gridCol w:w="3365"/>
      </w:tblGrid>
      <w:tr>
        <w:trPr>
          <w:trHeight w:val="441" w:hRule="atLeast"/>
        </w:trPr>
        <w:tc>
          <w:tcPr>
            <w:tcW w:w="5525" w:type="dxa"/>
          </w:tcPr>
          <w:p>
            <w:pPr>
              <w:pStyle w:val="TableParagraph"/>
              <w:tabs>
                <w:tab w:pos="734" w:val="left" w:leader="none"/>
              </w:tabs>
              <w:spacing w:before="112"/>
              <w:ind w:left="14"/>
              <w:rPr>
                <w:sz w:val="24"/>
              </w:rPr>
            </w:pPr>
            <w:r>
              <w:rPr>
                <w:sz w:val="24"/>
              </w:rPr>
              <w:t>部</w:t>
              <w:tab/>
              <w:t>门</w:t>
            </w:r>
          </w:p>
        </w:tc>
        <w:tc>
          <w:tcPr>
            <w:tcW w:w="3365" w:type="dxa"/>
          </w:tcPr>
          <w:p>
            <w:pPr>
              <w:pStyle w:val="TableParagraph"/>
              <w:tabs>
                <w:tab w:pos="734" w:val="left" w:leader="none"/>
              </w:tabs>
              <w:spacing w:before="112"/>
              <w:ind w:left="14"/>
              <w:rPr>
                <w:sz w:val="24"/>
              </w:rPr>
            </w:pPr>
            <w:r>
              <w:rPr>
                <w:sz w:val="24"/>
              </w:rPr>
              <w:t>电</w:t>
              <w:tab/>
              <w:t>话</w:t>
            </w:r>
          </w:p>
        </w:tc>
      </w:tr>
      <w:tr>
        <w:trPr>
          <w:trHeight w:val="441" w:hRule="atLeast"/>
        </w:trPr>
        <w:tc>
          <w:tcPr>
            <w:tcW w:w="5525" w:type="dxa"/>
          </w:tcPr>
          <w:p>
            <w:pPr>
              <w:pStyle w:val="TableParagraph"/>
              <w:spacing w:before="112"/>
              <w:ind w:left="14"/>
              <w:rPr>
                <w:sz w:val="24"/>
              </w:rPr>
            </w:pPr>
            <w:r>
              <w:rPr>
                <w:sz w:val="24"/>
              </w:rPr>
              <w:t>山东鲁华化工有限公司</w:t>
            </w:r>
          </w:p>
        </w:tc>
        <w:tc>
          <w:tcPr>
            <w:tcW w:w="3365" w:type="dxa"/>
          </w:tcPr>
          <w:p>
            <w:pPr>
              <w:pStyle w:val="TableParagraph"/>
              <w:spacing w:before="112"/>
              <w:ind w:left="14"/>
              <w:rPr>
                <w:sz w:val="24"/>
              </w:rPr>
            </w:pPr>
            <w:r>
              <w:rPr>
                <w:sz w:val="24"/>
              </w:rPr>
              <w:t>0536-7573757</w:t>
            </w:r>
          </w:p>
        </w:tc>
      </w:tr>
    </w:tbl>
    <w:p>
      <w:pPr>
        <w:pStyle w:val="BodyText"/>
        <w:spacing w:before="4"/>
        <w:rPr>
          <w:b/>
        </w:rPr>
      </w:pPr>
    </w:p>
    <w:p>
      <w:pPr>
        <w:spacing w:before="0" w:after="3"/>
        <w:ind w:left="2904" w:right="2448" w:firstLine="0"/>
        <w:jc w:val="center"/>
        <w:rPr>
          <w:b/>
          <w:sz w:val="28"/>
        </w:rPr>
      </w:pPr>
      <w:r>
        <w:rPr>
          <w:b/>
          <w:sz w:val="28"/>
        </w:rPr>
        <w:t>外部相关单位联络电话</w:t>
      </w:r>
    </w:p>
    <w:tbl>
      <w:tblPr>
        <w:tblW w:w="0" w:type="auto"/>
        <w:jc w:val="left"/>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5"/>
        <w:gridCol w:w="3451"/>
        <w:gridCol w:w="3235"/>
      </w:tblGrid>
      <w:tr>
        <w:trPr>
          <w:trHeight w:val="340" w:hRule="atLeast"/>
        </w:trPr>
        <w:tc>
          <w:tcPr>
            <w:tcW w:w="955" w:type="dxa"/>
            <w:tcBorders>
              <w:bottom w:val="single" w:sz="6" w:space="0" w:color="000000"/>
              <w:right w:val="single" w:sz="6" w:space="0" w:color="000000"/>
            </w:tcBorders>
          </w:tcPr>
          <w:p>
            <w:pPr>
              <w:pStyle w:val="TableParagraph"/>
              <w:spacing w:line="306" w:lineRule="exact" w:before="14"/>
              <w:ind w:left="217" w:right="205"/>
              <w:rPr>
                <w:sz w:val="24"/>
              </w:rPr>
            </w:pPr>
            <w:r>
              <w:rPr>
                <w:sz w:val="24"/>
              </w:rPr>
              <w:t>序号</w:t>
            </w:r>
          </w:p>
        </w:tc>
        <w:tc>
          <w:tcPr>
            <w:tcW w:w="3451" w:type="dxa"/>
            <w:tcBorders>
              <w:left w:val="single" w:sz="6" w:space="0" w:color="000000"/>
              <w:bottom w:val="single" w:sz="6" w:space="0" w:color="000000"/>
              <w:right w:val="single" w:sz="6" w:space="0" w:color="000000"/>
            </w:tcBorders>
          </w:tcPr>
          <w:p>
            <w:pPr>
              <w:pStyle w:val="TableParagraph"/>
              <w:tabs>
                <w:tab w:pos="494" w:val="left" w:leader="none"/>
              </w:tabs>
              <w:spacing w:line="306" w:lineRule="exact" w:before="14"/>
              <w:ind w:left="15"/>
              <w:rPr>
                <w:sz w:val="24"/>
              </w:rPr>
            </w:pPr>
            <w:r>
              <w:rPr>
                <w:sz w:val="24"/>
              </w:rPr>
              <w:t>单</w:t>
              <w:tab/>
              <w:t>位</w:t>
            </w:r>
          </w:p>
        </w:tc>
        <w:tc>
          <w:tcPr>
            <w:tcW w:w="3235" w:type="dxa"/>
            <w:tcBorders>
              <w:left w:val="single" w:sz="6" w:space="0" w:color="000000"/>
              <w:bottom w:val="single" w:sz="6" w:space="0" w:color="000000"/>
            </w:tcBorders>
          </w:tcPr>
          <w:p>
            <w:pPr>
              <w:pStyle w:val="TableParagraph"/>
              <w:tabs>
                <w:tab w:pos="488" w:val="left" w:leader="none"/>
              </w:tabs>
              <w:spacing w:line="306" w:lineRule="exact" w:before="14"/>
              <w:ind w:left="8"/>
              <w:rPr>
                <w:sz w:val="24"/>
              </w:rPr>
            </w:pPr>
            <w:r>
              <w:rPr>
                <w:sz w:val="24"/>
              </w:rPr>
              <w:t>电</w:t>
              <w:tab/>
              <w:t>话</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1</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消防火警</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119</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2</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医疗急救</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120</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3</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治安报警</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110</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4</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滨海区安监局</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5305016</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5</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滨海区环保局</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5331411</w:t>
            </w:r>
          </w:p>
        </w:tc>
      </w:tr>
      <w:tr>
        <w:trPr>
          <w:trHeight w:val="337" w:hRule="atLeast"/>
        </w:trPr>
        <w:tc>
          <w:tcPr>
            <w:tcW w:w="955" w:type="dxa"/>
            <w:tcBorders>
              <w:top w:val="single" w:sz="6" w:space="0" w:color="000000"/>
              <w:bottom w:val="single" w:sz="6" w:space="0" w:color="000000"/>
              <w:right w:val="single" w:sz="6" w:space="0" w:color="000000"/>
            </w:tcBorders>
          </w:tcPr>
          <w:p>
            <w:pPr>
              <w:pStyle w:val="TableParagraph"/>
              <w:spacing w:line="304" w:lineRule="exact" w:before="14"/>
              <w:ind w:left="12"/>
              <w:rPr>
                <w:sz w:val="24"/>
              </w:rPr>
            </w:pPr>
            <w:r>
              <w:rPr>
                <w:sz w:val="24"/>
              </w:rPr>
              <w:t>6</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4" w:lineRule="exact" w:before="14"/>
              <w:ind w:left="15"/>
              <w:rPr>
                <w:sz w:val="24"/>
              </w:rPr>
            </w:pPr>
            <w:r>
              <w:rPr>
                <w:sz w:val="24"/>
              </w:rPr>
              <w:t>潍坊市技术监督局</w:t>
            </w:r>
          </w:p>
        </w:tc>
        <w:tc>
          <w:tcPr>
            <w:tcW w:w="3235" w:type="dxa"/>
            <w:tcBorders>
              <w:top w:val="single" w:sz="6" w:space="0" w:color="000000"/>
              <w:left w:val="single" w:sz="6" w:space="0" w:color="000000"/>
              <w:bottom w:val="single" w:sz="6" w:space="0" w:color="000000"/>
            </w:tcBorders>
          </w:tcPr>
          <w:p>
            <w:pPr>
              <w:pStyle w:val="TableParagraph"/>
              <w:spacing w:line="304" w:lineRule="exact" w:before="14"/>
              <w:ind w:left="8"/>
              <w:rPr>
                <w:sz w:val="24"/>
              </w:rPr>
            </w:pPr>
            <w:r>
              <w:rPr>
                <w:sz w:val="24"/>
              </w:rPr>
              <w:t>8236211</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7</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滨海开发区环境监测站</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5331411</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8</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滨海开发区消防大队</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5308619</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12"/>
              <w:rPr>
                <w:sz w:val="24"/>
              </w:rPr>
            </w:pPr>
            <w:r>
              <w:rPr>
                <w:sz w:val="24"/>
              </w:rPr>
              <w:t>9</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滨海开发区人民医院</w:t>
            </w:r>
          </w:p>
        </w:tc>
        <w:tc>
          <w:tcPr>
            <w:tcW w:w="3235" w:type="dxa"/>
            <w:tcBorders>
              <w:top w:val="single" w:sz="6" w:space="0" w:color="000000"/>
              <w:left w:val="single" w:sz="6" w:space="0" w:color="000000"/>
              <w:bottom w:val="single" w:sz="6" w:space="0" w:color="000000"/>
            </w:tcBorders>
          </w:tcPr>
          <w:p>
            <w:pPr>
              <w:pStyle w:val="TableParagraph"/>
              <w:tabs>
                <w:tab w:pos="1088" w:val="left" w:leader="none"/>
              </w:tabs>
              <w:spacing w:line="306" w:lineRule="exact" w:before="14"/>
              <w:ind w:left="8"/>
              <w:rPr>
                <w:sz w:val="24"/>
              </w:rPr>
            </w:pPr>
            <w:r>
              <w:rPr>
                <w:sz w:val="24"/>
              </w:rPr>
              <w:t>5328939</w:t>
              <w:tab/>
              <w:t>5337120</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217" w:right="205"/>
              <w:rPr>
                <w:sz w:val="24"/>
              </w:rPr>
            </w:pPr>
            <w:r>
              <w:rPr>
                <w:sz w:val="24"/>
              </w:rPr>
              <w:t>10</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滨海开发区卫生防疫站</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5331284</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217" w:right="205"/>
              <w:rPr>
                <w:sz w:val="24"/>
              </w:rPr>
            </w:pPr>
            <w:r>
              <w:rPr>
                <w:sz w:val="24"/>
              </w:rPr>
              <w:t>11</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滨海开发区公安分局</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5331073</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217" w:right="205"/>
              <w:rPr>
                <w:sz w:val="24"/>
              </w:rPr>
            </w:pPr>
            <w:r>
              <w:rPr>
                <w:sz w:val="24"/>
              </w:rPr>
              <w:t>12</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供水公司</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5329347</w:t>
            </w:r>
          </w:p>
        </w:tc>
      </w:tr>
      <w:tr>
        <w:trPr>
          <w:trHeight w:val="340" w:hRule="atLeast"/>
        </w:trPr>
        <w:tc>
          <w:tcPr>
            <w:tcW w:w="955" w:type="dxa"/>
            <w:tcBorders>
              <w:top w:val="single" w:sz="6" w:space="0" w:color="000000"/>
              <w:bottom w:val="single" w:sz="6" w:space="0" w:color="000000"/>
              <w:right w:val="single" w:sz="6" w:space="0" w:color="000000"/>
            </w:tcBorders>
          </w:tcPr>
          <w:p>
            <w:pPr>
              <w:pStyle w:val="TableParagraph"/>
              <w:spacing w:line="306" w:lineRule="exact" w:before="14"/>
              <w:ind w:left="217" w:right="205"/>
              <w:rPr>
                <w:sz w:val="24"/>
              </w:rPr>
            </w:pPr>
            <w:r>
              <w:rPr>
                <w:sz w:val="24"/>
              </w:rPr>
              <w:t>13</w:t>
            </w:r>
          </w:p>
        </w:tc>
        <w:tc>
          <w:tcPr>
            <w:tcW w:w="3451" w:type="dxa"/>
            <w:tcBorders>
              <w:top w:val="single" w:sz="6" w:space="0" w:color="000000"/>
              <w:left w:val="single" w:sz="6" w:space="0" w:color="000000"/>
              <w:bottom w:val="single" w:sz="6" w:space="0" w:color="000000"/>
              <w:right w:val="single" w:sz="6" w:space="0" w:color="000000"/>
            </w:tcBorders>
          </w:tcPr>
          <w:p>
            <w:pPr>
              <w:pStyle w:val="TableParagraph"/>
              <w:spacing w:line="306" w:lineRule="exact" w:before="14"/>
              <w:ind w:left="15"/>
              <w:rPr>
                <w:sz w:val="24"/>
              </w:rPr>
            </w:pPr>
            <w:r>
              <w:rPr>
                <w:sz w:val="24"/>
              </w:rPr>
              <w:t>潍坊市安监局</w:t>
            </w:r>
          </w:p>
        </w:tc>
        <w:tc>
          <w:tcPr>
            <w:tcW w:w="3235" w:type="dxa"/>
            <w:tcBorders>
              <w:top w:val="single" w:sz="6" w:space="0" w:color="000000"/>
              <w:left w:val="single" w:sz="6" w:space="0" w:color="000000"/>
              <w:bottom w:val="single" w:sz="6" w:space="0" w:color="000000"/>
            </w:tcBorders>
          </w:tcPr>
          <w:p>
            <w:pPr>
              <w:pStyle w:val="TableParagraph"/>
              <w:spacing w:line="306" w:lineRule="exact" w:before="14"/>
              <w:ind w:left="8"/>
              <w:rPr>
                <w:sz w:val="24"/>
              </w:rPr>
            </w:pPr>
            <w:r>
              <w:rPr>
                <w:sz w:val="24"/>
              </w:rPr>
              <w:t>8219402</w:t>
            </w:r>
          </w:p>
        </w:tc>
      </w:tr>
      <w:tr>
        <w:trPr>
          <w:trHeight w:val="340" w:hRule="atLeast"/>
        </w:trPr>
        <w:tc>
          <w:tcPr>
            <w:tcW w:w="955" w:type="dxa"/>
            <w:tcBorders>
              <w:top w:val="single" w:sz="6" w:space="0" w:color="000000"/>
              <w:right w:val="single" w:sz="6" w:space="0" w:color="000000"/>
            </w:tcBorders>
          </w:tcPr>
          <w:p>
            <w:pPr>
              <w:pStyle w:val="TableParagraph"/>
              <w:spacing w:line="306" w:lineRule="exact" w:before="14"/>
              <w:ind w:left="217" w:right="205"/>
              <w:rPr>
                <w:sz w:val="24"/>
              </w:rPr>
            </w:pPr>
            <w:r>
              <w:rPr>
                <w:sz w:val="24"/>
              </w:rPr>
              <w:t>14</w:t>
            </w:r>
          </w:p>
        </w:tc>
        <w:tc>
          <w:tcPr>
            <w:tcW w:w="3451" w:type="dxa"/>
            <w:tcBorders>
              <w:top w:val="single" w:sz="6" w:space="0" w:color="000000"/>
              <w:left w:val="single" w:sz="6" w:space="0" w:color="000000"/>
              <w:right w:val="single" w:sz="6" w:space="0" w:color="000000"/>
            </w:tcBorders>
          </w:tcPr>
          <w:p>
            <w:pPr>
              <w:pStyle w:val="TableParagraph"/>
              <w:spacing w:line="306" w:lineRule="exact" w:before="14"/>
              <w:ind w:left="15"/>
              <w:rPr>
                <w:sz w:val="24"/>
              </w:rPr>
            </w:pPr>
            <w:r>
              <w:rPr>
                <w:sz w:val="24"/>
              </w:rPr>
              <w:t>潍坊市环境保护局</w:t>
            </w:r>
          </w:p>
        </w:tc>
        <w:tc>
          <w:tcPr>
            <w:tcW w:w="3235" w:type="dxa"/>
            <w:tcBorders>
              <w:top w:val="single" w:sz="6" w:space="0" w:color="000000"/>
              <w:left w:val="single" w:sz="6" w:space="0" w:color="000000"/>
            </w:tcBorders>
          </w:tcPr>
          <w:p>
            <w:pPr>
              <w:pStyle w:val="TableParagraph"/>
              <w:spacing w:line="306" w:lineRule="exact" w:before="14"/>
              <w:ind w:left="8"/>
              <w:rPr>
                <w:sz w:val="24"/>
              </w:rPr>
            </w:pPr>
            <w:r>
              <w:rPr>
                <w:sz w:val="24"/>
              </w:rPr>
              <w:t>8586195</w:t>
            </w:r>
          </w:p>
        </w:tc>
      </w:tr>
    </w:tbl>
    <w:p>
      <w:pPr>
        <w:spacing w:after="0" w:line="306" w:lineRule="exact"/>
        <w:rPr>
          <w:sz w:val="24"/>
        </w:rPr>
        <w:sectPr>
          <w:footerReference w:type="default" r:id="rId54"/>
          <w:pgSz w:w="11910" w:h="16840"/>
          <w:pgMar w:footer="982" w:header="0" w:top="1120" w:bottom="1180" w:left="920" w:right="1380"/>
          <w:pgNumType w:start="67"/>
        </w:sectPr>
      </w:pPr>
    </w:p>
    <w:p>
      <w:pPr>
        <w:spacing w:before="34"/>
        <w:ind w:left="212" w:right="0" w:firstLine="0"/>
        <w:jc w:val="left"/>
        <w:rPr>
          <w:b/>
          <w:sz w:val="28"/>
        </w:rPr>
      </w:pPr>
      <w:r>
        <w:rPr>
          <w:b/>
          <w:sz w:val="28"/>
        </w:rPr>
        <w:t>附件 5：应急物资与装备</w:t>
      </w:r>
    </w:p>
    <w:p>
      <w:pPr>
        <w:spacing w:before="186"/>
        <w:ind w:left="3906" w:right="0" w:firstLine="0"/>
        <w:jc w:val="left"/>
        <w:rPr>
          <w:b/>
          <w:sz w:val="28"/>
        </w:rPr>
      </w:pPr>
      <w:r>
        <w:rPr>
          <w:b/>
          <w:sz w:val="28"/>
        </w:rPr>
        <w:t>应急物资与装备一览表</w:t>
      </w:r>
    </w:p>
    <w:p>
      <w:pPr>
        <w:pStyle w:val="BodyText"/>
        <w:spacing w:before="8"/>
        <w:rPr>
          <w:b/>
          <w:sz w:val="14"/>
        </w:rPr>
      </w:pPr>
    </w:p>
    <w:tbl>
      <w:tblPr>
        <w:tblW w:w="0" w:type="auto"/>
        <w:jc w:val="left"/>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1860"/>
        <w:gridCol w:w="1370"/>
        <w:gridCol w:w="744"/>
        <w:gridCol w:w="1258"/>
        <w:gridCol w:w="1164"/>
        <w:gridCol w:w="1255"/>
      </w:tblGrid>
      <w:tr>
        <w:trPr>
          <w:trHeight w:val="270" w:hRule="atLeast"/>
        </w:trPr>
        <w:tc>
          <w:tcPr>
            <w:tcW w:w="749" w:type="dxa"/>
          </w:tcPr>
          <w:p>
            <w:pPr>
              <w:pStyle w:val="TableParagraph"/>
              <w:spacing w:line="250" w:lineRule="exact" w:before="1"/>
              <w:ind w:left="143" w:right="134"/>
              <w:rPr>
                <w:b/>
                <w:sz w:val="21"/>
              </w:rPr>
            </w:pPr>
            <w:r>
              <w:rPr>
                <w:b/>
                <w:sz w:val="21"/>
              </w:rPr>
              <w:t>序号</w:t>
            </w:r>
          </w:p>
        </w:tc>
        <w:tc>
          <w:tcPr>
            <w:tcW w:w="1860" w:type="dxa"/>
          </w:tcPr>
          <w:p>
            <w:pPr>
              <w:pStyle w:val="TableParagraph"/>
              <w:spacing w:line="250" w:lineRule="exact" w:before="1"/>
              <w:ind w:left="68" w:right="57"/>
              <w:rPr>
                <w:b/>
                <w:sz w:val="21"/>
              </w:rPr>
            </w:pPr>
            <w:r>
              <w:rPr>
                <w:b/>
                <w:sz w:val="21"/>
              </w:rPr>
              <w:t>应急物资名称</w:t>
            </w:r>
          </w:p>
        </w:tc>
        <w:tc>
          <w:tcPr>
            <w:tcW w:w="1370" w:type="dxa"/>
          </w:tcPr>
          <w:p>
            <w:pPr>
              <w:pStyle w:val="TableParagraph"/>
              <w:spacing w:line="250" w:lineRule="exact" w:before="1"/>
              <w:ind w:left="357" w:right="350"/>
              <w:rPr>
                <w:b/>
                <w:sz w:val="21"/>
              </w:rPr>
            </w:pPr>
            <w:r>
              <w:rPr>
                <w:b/>
                <w:sz w:val="21"/>
              </w:rPr>
              <w:t>规格</w:t>
            </w:r>
          </w:p>
        </w:tc>
        <w:tc>
          <w:tcPr>
            <w:tcW w:w="744" w:type="dxa"/>
          </w:tcPr>
          <w:p>
            <w:pPr>
              <w:pStyle w:val="TableParagraph"/>
              <w:spacing w:line="250" w:lineRule="exact" w:before="1"/>
              <w:ind w:left="141" w:right="131"/>
              <w:rPr>
                <w:b/>
                <w:sz w:val="21"/>
              </w:rPr>
            </w:pPr>
            <w:r>
              <w:rPr>
                <w:b/>
                <w:sz w:val="21"/>
              </w:rPr>
              <w:t>单位</w:t>
            </w:r>
          </w:p>
        </w:tc>
        <w:tc>
          <w:tcPr>
            <w:tcW w:w="1258" w:type="dxa"/>
          </w:tcPr>
          <w:p>
            <w:pPr>
              <w:pStyle w:val="TableParagraph"/>
              <w:spacing w:line="250" w:lineRule="exact" w:before="1"/>
              <w:ind w:left="124" w:right="119"/>
              <w:rPr>
                <w:b/>
                <w:sz w:val="21"/>
              </w:rPr>
            </w:pPr>
            <w:r>
              <w:rPr>
                <w:b/>
                <w:sz w:val="21"/>
              </w:rPr>
              <w:t>数量</w:t>
            </w:r>
          </w:p>
        </w:tc>
        <w:tc>
          <w:tcPr>
            <w:tcW w:w="1164" w:type="dxa"/>
          </w:tcPr>
          <w:p>
            <w:pPr>
              <w:pStyle w:val="TableParagraph"/>
              <w:spacing w:line="250" w:lineRule="exact" w:before="1"/>
              <w:ind w:left="243" w:right="237"/>
              <w:rPr>
                <w:b/>
                <w:sz w:val="21"/>
              </w:rPr>
            </w:pPr>
            <w:r>
              <w:rPr>
                <w:b/>
                <w:sz w:val="21"/>
              </w:rPr>
              <w:t>责任人</w:t>
            </w:r>
          </w:p>
        </w:tc>
        <w:tc>
          <w:tcPr>
            <w:tcW w:w="1255" w:type="dxa"/>
          </w:tcPr>
          <w:p>
            <w:pPr>
              <w:pStyle w:val="TableParagraph"/>
              <w:spacing w:line="250" w:lineRule="exact" w:before="1"/>
              <w:ind w:left="206"/>
              <w:jc w:val="left"/>
              <w:rPr>
                <w:b/>
                <w:sz w:val="21"/>
              </w:rPr>
            </w:pPr>
            <w:r>
              <w:rPr>
                <w:b/>
                <w:sz w:val="21"/>
              </w:rPr>
              <w:t>联系电话</w:t>
            </w:r>
          </w:p>
        </w:tc>
      </w:tr>
      <w:tr>
        <w:trPr>
          <w:trHeight w:val="273" w:hRule="atLeast"/>
        </w:trPr>
        <w:tc>
          <w:tcPr>
            <w:tcW w:w="749" w:type="dxa"/>
          </w:tcPr>
          <w:p>
            <w:pPr>
              <w:pStyle w:val="TableParagraph"/>
              <w:spacing w:before="7"/>
              <w:ind w:left="14"/>
              <w:rPr>
                <w:rFonts w:ascii="Times New Roman"/>
                <w:sz w:val="21"/>
              </w:rPr>
            </w:pPr>
            <w:r>
              <w:rPr>
                <w:rFonts w:ascii="Times New Roman"/>
                <w:w w:val="100"/>
                <w:sz w:val="21"/>
              </w:rPr>
              <w:t>1</w:t>
            </w:r>
          </w:p>
        </w:tc>
        <w:tc>
          <w:tcPr>
            <w:tcW w:w="1860" w:type="dxa"/>
          </w:tcPr>
          <w:p>
            <w:pPr>
              <w:pStyle w:val="TableParagraph"/>
              <w:spacing w:line="252" w:lineRule="exact" w:before="1"/>
              <w:ind w:left="68" w:right="57"/>
              <w:rPr>
                <w:sz w:val="21"/>
              </w:rPr>
            </w:pPr>
            <w:r>
              <w:rPr>
                <w:sz w:val="21"/>
              </w:rPr>
              <w:t>喇叭</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个</w:t>
            </w:r>
          </w:p>
        </w:tc>
        <w:tc>
          <w:tcPr>
            <w:tcW w:w="1258" w:type="dxa"/>
          </w:tcPr>
          <w:p>
            <w:pPr>
              <w:pStyle w:val="TableParagraph"/>
              <w:spacing w:before="7"/>
              <w:ind w:left="9"/>
              <w:rPr>
                <w:rFonts w:ascii="Times New Roman"/>
                <w:sz w:val="21"/>
              </w:rPr>
            </w:pPr>
            <w:r>
              <w:rPr>
                <w:rFonts w:ascii="Times New Roman"/>
                <w:w w:val="100"/>
                <w:sz w:val="21"/>
              </w:rPr>
              <w:t>4</w:t>
            </w:r>
          </w:p>
        </w:tc>
        <w:tc>
          <w:tcPr>
            <w:tcW w:w="1164" w:type="dxa"/>
          </w:tcPr>
          <w:p>
            <w:pPr>
              <w:pStyle w:val="TableParagraph"/>
              <w:spacing w:line="252" w:lineRule="exact" w:before="1"/>
              <w:ind w:left="243" w:right="237"/>
              <w:rPr>
                <w:sz w:val="21"/>
              </w:rPr>
            </w:pPr>
            <w:r>
              <w:rPr>
                <w:sz w:val="21"/>
              </w:rPr>
              <w:t>安全员</w:t>
            </w:r>
          </w:p>
        </w:tc>
        <w:tc>
          <w:tcPr>
            <w:tcW w:w="1255" w:type="dxa"/>
            <w:vMerge w:val="restart"/>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143"/>
              <w:ind w:left="261"/>
              <w:jc w:val="left"/>
              <w:rPr>
                <w:rFonts w:ascii="Times New Roman"/>
                <w:sz w:val="21"/>
              </w:rPr>
            </w:pPr>
            <w:r>
              <w:rPr>
                <w:rFonts w:ascii="Times New Roman"/>
                <w:sz w:val="21"/>
              </w:rPr>
              <w:t>7573670</w:t>
            </w:r>
          </w:p>
        </w:tc>
      </w:tr>
      <w:tr>
        <w:trPr>
          <w:trHeight w:val="273" w:hRule="atLeast"/>
        </w:trPr>
        <w:tc>
          <w:tcPr>
            <w:tcW w:w="749" w:type="dxa"/>
          </w:tcPr>
          <w:p>
            <w:pPr>
              <w:pStyle w:val="TableParagraph"/>
              <w:spacing w:before="7"/>
              <w:ind w:left="14"/>
              <w:rPr>
                <w:rFonts w:ascii="Times New Roman"/>
                <w:sz w:val="21"/>
              </w:rPr>
            </w:pPr>
            <w:r>
              <w:rPr>
                <w:rFonts w:ascii="Times New Roman"/>
                <w:w w:val="100"/>
                <w:sz w:val="21"/>
              </w:rPr>
              <w:t>2</w:t>
            </w:r>
          </w:p>
        </w:tc>
        <w:tc>
          <w:tcPr>
            <w:tcW w:w="1860" w:type="dxa"/>
          </w:tcPr>
          <w:p>
            <w:pPr>
              <w:pStyle w:val="TableParagraph"/>
              <w:spacing w:line="252" w:lineRule="exact" w:before="1"/>
              <w:ind w:left="71" w:right="57"/>
              <w:rPr>
                <w:sz w:val="21"/>
              </w:rPr>
            </w:pPr>
            <w:r>
              <w:rPr>
                <w:sz w:val="21"/>
              </w:rPr>
              <w:t>防毒全面罩</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副</w:t>
            </w:r>
          </w:p>
        </w:tc>
        <w:tc>
          <w:tcPr>
            <w:tcW w:w="1258" w:type="dxa"/>
          </w:tcPr>
          <w:p>
            <w:pPr>
              <w:pStyle w:val="TableParagraph"/>
              <w:spacing w:before="7"/>
              <w:ind w:left="9"/>
              <w:rPr>
                <w:rFonts w:ascii="Times New Roman"/>
                <w:sz w:val="21"/>
              </w:rPr>
            </w:pPr>
            <w:r>
              <w:rPr>
                <w:rFonts w:ascii="Times New Roman"/>
                <w:w w:val="100"/>
                <w:sz w:val="21"/>
              </w:rPr>
              <w:t>8</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
              <w:rPr>
                <w:rFonts w:ascii="Times New Roman"/>
                <w:sz w:val="21"/>
              </w:rPr>
            </w:pPr>
            <w:r>
              <w:rPr>
                <w:rFonts w:ascii="Times New Roman"/>
                <w:w w:val="100"/>
                <w:sz w:val="21"/>
              </w:rPr>
              <w:t>3</w:t>
            </w:r>
          </w:p>
        </w:tc>
        <w:tc>
          <w:tcPr>
            <w:tcW w:w="1860" w:type="dxa"/>
          </w:tcPr>
          <w:p>
            <w:pPr>
              <w:pStyle w:val="TableParagraph"/>
              <w:spacing w:line="250" w:lineRule="exact" w:before="1"/>
              <w:ind w:left="71" w:right="57"/>
              <w:rPr>
                <w:sz w:val="21"/>
              </w:rPr>
            </w:pPr>
            <w:r>
              <w:rPr>
                <w:sz w:val="21"/>
              </w:rPr>
              <w:t>防毒面具</w:t>
            </w:r>
          </w:p>
        </w:tc>
        <w:tc>
          <w:tcPr>
            <w:tcW w:w="1370" w:type="dxa"/>
          </w:tcPr>
          <w:p>
            <w:pPr>
              <w:pStyle w:val="TableParagraph"/>
              <w:jc w:val="left"/>
              <w:rPr>
                <w:rFonts w:ascii="Times New Roman"/>
                <w:sz w:val="20"/>
              </w:rPr>
            </w:pPr>
          </w:p>
        </w:tc>
        <w:tc>
          <w:tcPr>
            <w:tcW w:w="744" w:type="dxa"/>
          </w:tcPr>
          <w:p>
            <w:pPr>
              <w:pStyle w:val="TableParagraph"/>
              <w:spacing w:line="250" w:lineRule="exact" w:before="1"/>
              <w:ind w:left="15"/>
              <w:rPr>
                <w:sz w:val="21"/>
              </w:rPr>
            </w:pPr>
            <w:r>
              <w:rPr>
                <w:w w:val="100"/>
                <w:sz w:val="21"/>
              </w:rPr>
              <w:t>副</w:t>
            </w:r>
          </w:p>
        </w:tc>
        <w:tc>
          <w:tcPr>
            <w:tcW w:w="1258" w:type="dxa"/>
          </w:tcPr>
          <w:p>
            <w:pPr>
              <w:pStyle w:val="TableParagraph"/>
              <w:spacing w:before="7"/>
              <w:ind w:left="9"/>
              <w:rPr>
                <w:rFonts w:ascii="Times New Roman"/>
                <w:sz w:val="21"/>
              </w:rPr>
            </w:pPr>
            <w:r>
              <w:rPr>
                <w:rFonts w:ascii="Times New Roman"/>
                <w:w w:val="100"/>
                <w:sz w:val="21"/>
              </w:rPr>
              <w:t>8</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
              <w:rPr>
                <w:rFonts w:ascii="Times New Roman"/>
                <w:sz w:val="21"/>
              </w:rPr>
            </w:pPr>
            <w:r>
              <w:rPr>
                <w:rFonts w:ascii="Times New Roman"/>
                <w:w w:val="100"/>
                <w:sz w:val="21"/>
              </w:rPr>
              <w:t>4</w:t>
            </w:r>
          </w:p>
        </w:tc>
        <w:tc>
          <w:tcPr>
            <w:tcW w:w="1860" w:type="dxa"/>
          </w:tcPr>
          <w:p>
            <w:pPr>
              <w:pStyle w:val="TableParagraph"/>
              <w:spacing w:line="252" w:lineRule="exact" w:before="1"/>
              <w:ind w:left="68" w:right="57"/>
              <w:rPr>
                <w:sz w:val="21"/>
              </w:rPr>
            </w:pPr>
            <w:r>
              <w:rPr>
                <w:sz w:val="21"/>
              </w:rPr>
              <w:t>安全绳</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条</w:t>
            </w:r>
          </w:p>
        </w:tc>
        <w:tc>
          <w:tcPr>
            <w:tcW w:w="1258" w:type="dxa"/>
          </w:tcPr>
          <w:p>
            <w:pPr>
              <w:pStyle w:val="TableParagraph"/>
              <w:spacing w:before="7"/>
              <w:ind w:left="9"/>
              <w:rPr>
                <w:rFonts w:ascii="Times New Roman"/>
                <w:sz w:val="21"/>
              </w:rPr>
            </w:pPr>
            <w:r>
              <w:rPr>
                <w:rFonts w:ascii="Times New Roman"/>
                <w:w w:val="100"/>
                <w:sz w:val="21"/>
              </w:rPr>
              <w:t>3</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8"/>
              <w:ind w:left="14"/>
              <w:rPr>
                <w:rFonts w:ascii="Times New Roman"/>
                <w:sz w:val="21"/>
              </w:rPr>
            </w:pPr>
            <w:r>
              <w:rPr>
                <w:rFonts w:ascii="Times New Roman"/>
                <w:w w:val="100"/>
                <w:sz w:val="21"/>
              </w:rPr>
              <w:t>5</w:t>
            </w:r>
          </w:p>
        </w:tc>
        <w:tc>
          <w:tcPr>
            <w:tcW w:w="1860" w:type="dxa"/>
          </w:tcPr>
          <w:p>
            <w:pPr>
              <w:pStyle w:val="TableParagraph"/>
              <w:spacing w:line="252" w:lineRule="exact" w:before="1"/>
              <w:ind w:left="68" w:right="57"/>
              <w:rPr>
                <w:sz w:val="21"/>
              </w:rPr>
            </w:pPr>
            <w:r>
              <w:rPr>
                <w:sz w:val="21"/>
              </w:rPr>
              <w:t>安全梯</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部</w:t>
            </w:r>
          </w:p>
        </w:tc>
        <w:tc>
          <w:tcPr>
            <w:tcW w:w="1258" w:type="dxa"/>
          </w:tcPr>
          <w:p>
            <w:pPr>
              <w:pStyle w:val="TableParagraph"/>
              <w:spacing w:before="8"/>
              <w:ind w:left="9"/>
              <w:rPr>
                <w:rFonts w:ascii="Times New Roman"/>
                <w:sz w:val="21"/>
              </w:rPr>
            </w:pPr>
            <w:r>
              <w:rPr>
                <w:rFonts w:ascii="Times New Roman"/>
                <w:w w:val="100"/>
                <w:sz w:val="21"/>
              </w:rPr>
              <w:t>2</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8"/>
              <w:ind w:left="14"/>
              <w:rPr>
                <w:rFonts w:ascii="Times New Roman"/>
                <w:sz w:val="21"/>
              </w:rPr>
            </w:pPr>
            <w:r>
              <w:rPr>
                <w:rFonts w:ascii="Times New Roman"/>
                <w:w w:val="100"/>
                <w:sz w:val="21"/>
              </w:rPr>
              <w:t>6</w:t>
            </w:r>
          </w:p>
        </w:tc>
        <w:tc>
          <w:tcPr>
            <w:tcW w:w="1860" w:type="dxa"/>
          </w:tcPr>
          <w:p>
            <w:pPr>
              <w:pStyle w:val="TableParagraph"/>
              <w:spacing w:line="250" w:lineRule="exact" w:before="1"/>
              <w:ind w:left="68" w:right="57"/>
              <w:rPr>
                <w:sz w:val="21"/>
              </w:rPr>
            </w:pPr>
            <w:r>
              <w:rPr>
                <w:sz w:val="21"/>
              </w:rPr>
              <w:t>灭火器</w:t>
            </w:r>
          </w:p>
        </w:tc>
        <w:tc>
          <w:tcPr>
            <w:tcW w:w="1370" w:type="dxa"/>
          </w:tcPr>
          <w:p>
            <w:pPr>
              <w:pStyle w:val="TableParagraph"/>
              <w:spacing w:before="8"/>
              <w:ind w:left="362" w:right="350"/>
              <w:rPr>
                <w:rFonts w:ascii="Times New Roman"/>
                <w:sz w:val="21"/>
              </w:rPr>
            </w:pPr>
            <w:r>
              <w:rPr>
                <w:rFonts w:ascii="Times New Roman"/>
                <w:sz w:val="21"/>
              </w:rPr>
              <w:t>MFZ-8</w:t>
            </w:r>
          </w:p>
        </w:tc>
        <w:tc>
          <w:tcPr>
            <w:tcW w:w="744" w:type="dxa"/>
          </w:tcPr>
          <w:p>
            <w:pPr>
              <w:pStyle w:val="TableParagraph"/>
              <w:spacing w:line="250" w:lineRule="exact" w:before="1"/>
              <w:ind w:left="15"/>
              <w:rPr>
                <w:sz w:val="21"/>
              </w:rPr>
            </w:pPr>
            <w:r>
              <w:rPr>
                <w:w w:val="100"/>
                <w:sz w:val="21"/>
              </w:rPr>
              <w:t>个</w:t>
            </w:r>
          </w:p>
        </w:tc>
        <w:tc>
          <w:tcPr>
            <w:tcW w:w="1258" w:type="dxa"/>
          </w:tcPr>
          <w:p>
            <w:pPr>
              <w:pStyle w:val="TableParagraph"/>
              <w:spacing w:before="8"/>
              <w:ind w:left="128" w:right="119"/>
              <w:rPr>
                <w:rFonts w:ascii="Times New Roman"/>
                <w:sz w:val="21"/>
              </w:rPr>
            </w:pPr>
            <w:r>
              <w:rPr>
                <w:rFonts w:ascii="Times New Roman"/>
                <w:sz w:val="21"/>
              </w:rPr>
              <w:t>28</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
              <w:rPr>
                <w:rFonts w:ascii="Times New Roman"/>
                <w:sz w:val="21"/>
              </w:rPr>
            </w:pPr>
            <w:r>
              <w:rPr>
                <w:rFonts w:ascii="Times New Roman"/>
                <w:w w:val="100"/>
                <w:sz w:val="21"/>
              </w:rPr>
              <w:t>9</w:t>
            </w:r>
          </w:p>
        </w:tc>
        <w:tc>
          <w:tcPr>
            <w:tcW w:w="1860" w:type="dxa"/>
          </w:tcPr>
          <w:p>
            <w:pPr>
              <w:pStyle w:val="TableParagraph"/>
              <w:spacing w:line="252" w:lineRule="exact" w:before="1"/>
              <w:ind w:left="71" w:right="57"/>
              <w:rPr>
                <w:sz w:val="21"/>
              </w:rPr>
            </w:pPr>
            <w:r>
              <w:rPr>
                <w:sz w:val="21"/>
              </w:rPr>
              <w:t>消防水池</w:t>
            </w:r>
          </w:p>
        </w:tc>
        <w:tc>
          <w:tcPr>
            <w:tcW w:w="1370" w:type="dxa"/>
          </w:tcPr>
          <w:p>
            <w:pPr>
              <w:pStyle w:val="TableParagraph"/>
              <w:jc w:val="left"/>
              <w:rPr>
                <w:rFonts w:ascii="Times New Roman"/>
                <w:sz w:val="20"/>
              </w:rPr>
            </w:pPr>
          </w:p>
        </w:tc>
        <w:tc>
          <w:tcPr>
            <w:tcW w:w="744" w:type="dxa"/>
          </w:tcPr>
          <w:p>
            <w:pPr>
              <w:pStyle w:val="TableParagraph"/>
              <w:spacing w:line="124" w:lineRule="auto" w:before="17"/>
              <w:ind w:left="141" w:right="126"/>
              <w:rPr>
                <w:rFonts w:ascii="Times New Roman"/>
                <w:sz w:val="14"/>
              </w:rPr>
            </w:pPr>
            <w:r>
              <w:rPr>
                <w:rFonts w:ascii="Times New Roman"/>
                <w:position w:val="-9"/>
                <w:sz w:val="21"/>
              </w:rPr>
              <w:t>m</w:t>
            </w:r>
            <w:r>
              <w:rPr>
                <w:rFonts w:ascii="Times New Roman"/>
                <w:sz w:val="14"/>
              </w:rPr>
              <w:t>3</w:t>
            </w:r>
          </w:p>
        </w:tc>
        <w:tc>
          <w:tcPr>
            <w:tcW w:w="1258" w:type="dxa"/>
          </w:tcPr>
          <w:p>
            <w:pPr>
              <w:pStyle w:val="TableParagraph"/>
              <w:spacing w:before="7"/>
              <w:ind w:left="128" w:right="119"/>
              <w:rPr>
                <w:rFonts w:ascii="Times New Roman"/>
                <w:sz w:val="21"/>
              </w:rPr>
            </w:pPr>
            <w:r>
              <w:rPr>
                <w:rFonts w:ascii="Times New Roman"/>
                <w:sz w:val="21"/>
              </w:rPr>
              <w:t>800</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3" w:right="129"/>
              <w:rPr>
                <w:rFonts w:ascii="Times New Roman"/>
                <w:sz w:val="21"/>
              </w:rPr>
            </w:pPr>
            <w:r>
              <w:rPr>
                <w:rFonts w:ascii="Times New Roman"/>
                <w:sz w:val="21"/>
              </w:rPr>
              <w:t>10</w:t>
            </w:r>
          </w:p>
        </w:tc>
        <w:tc>
          <w:tcPr>
            <w:tcW w:w="1860" w:type="dxa"/>
          </w:tcPr>
          <w:p>
            <w:pPr>
              <w:pStyle w:val="TableParagraph"/>
              <w:spacing w:line="250" w:lineRule="exact" w:before="1"/>
              <w:ind w:left="71" w:right="57"/>
              <w:rPr>
                <w:sz w:val="21"/>
              </w:rPr>
            </w:pPr>
            <w:r>
              <w:rPr>
                <w:sz w:val="21"/>
              </w:rPr>
              <w:t>事故水池</w:t>
            </w:r>
          </w:p>
        </w:tc>
        <w:tc>
          <w:tcPr>
            <w:tcW w:w="1370" w:type="dxa"/>
          </w:tcPr>
          <w:p>
            <w:pPr>
              <w:pStyle w:val="TableParagraph"/>
              <w:jc w:val="left"/>
              <w:rPr>
                <w:rFonts w:ascii="Times New Roman"/>
                <w:sz w:val="20"/>
              </w:rPr>
            </w:pPr>
          </w:p>
        </w:tc>
        <w:tc>
          <w:tcPr>
            <w:tcW w:w="744" w:type="dxa"/>
          </w:tcPr>
          <w:p>
            <w:pPr>
              <w:pStyle w:val="TableParagraph"/>
              <w:spacing w:line="124" w:lineRule="auto" w:before="17"/>
              <w:ind w:left="141" w:right="126"/>
              <w:rPr>
                <w:rFonts w:ascii="Times New Roman"/>
                <w:sz w:val="14"/>
              </w:rPr>
            </w:pPr>
            <w:r>
              <w:rPr>
                <w:rFonts w:ascii="Times New Roman"/>
                <w:position w:val="-9"/>
                <w:sz w:val="21"/>
              </w:rPr>
              <w:t>m</w:t>
            </w:r>
            <w:r>
              <w:rPr>
                <w:rFonts w:ascii="Times New Roman"/>
                <w:sz w:val="14"/>
              </w:rPr>
              <w:t>3</w:t>
            </w:r>
          </w:p>
        </w:tc>
        <w:tc>
          <w:tcPr>
            <w:tcW w:w="1258" w:type="dxa"/>
          </w:tcPr>
          <w:p>
            <w:pPr>
              <w:pStyle w:val="TableParagraph"/>
              <w:spacing w:before="7"/>
              <w:ind w:left="128" w:right="119"/>
              <w:rPr>
                <w:rFonts w:ascii="Times New Roman"/>
                <w:sz w:val="21"/>
              </w:rPr>
            </w:pPr>
            <w:r>
              <w:rPr>
                <w:rFonts w:ascii="Times New Roman"/>
                <w:sz w:val="21"/>
              </w:rPr>
              <w:t>2100</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8"/>
              <w:ind w:left="143" w:right="129"/>
              <w:rPr>
                <w:rFonts w:ascii="Times New Roman"/>
                <w:sz w:val="21"/>
              </w:rPr>
            </w:pPr>
            <w:r>
              <w:rPr>
                <w:rFonts w:ascii="Times New Roman"/>
                <w:sz w:val="21"/>
              </w:rPr>
              <w:t>11</w:t>
            </w:r>
          </w:p>
        </w:tc>
        <w:tc>
          <w:tcPr>
            <w:tcW w:w="1860" w:type="dxa"/>
          </w:tcPr>
          <w:p>
            <w:pPr>
              <w:pStyle w:val="TableParagraph"/>
              <w:spacing w:line="252" w:lineRule="exact" w:before="1"/>
              <w:ind w:left="68" w:right="57"/>
              <w:rPr>
                <w:sz w:val="21"/>
              </w:rPr>
            </w:pPr>
            <w:r>
              <w:rPr>
                <w:sz w:val="21"/>
              </w:rPr>
              <w:t>避雷针</w:t>
            </w:r>
          </w:p>
        </w:tc>
        <w:tc>
          <w:tcPr>
            <w:tcW w:w="1370" w:type="dxa"/>
          </w:tcPr>
          <w:p>
            <w:pPr>
              <w:pStyle w:val="TableParagraph"/>
              <w:spacing w:line="252" w:lineRule="exact" w:before="1"/>
              <w:ind w:left="362" w:right="350"/>
              <w:rPr>
                <w:sz w:val="21"/>
              </w:rPr>
            </w:pPr>
            <w:r>
              <w:rPr>
                <w:sz w:val="21"/>
              </w:rPr>
              <w:t>自制</w:t>
            </w:r>
          </w:p>
        </w:tc>
        <w:tc>
          <w:tcPr>
            <w:tcW w:w="744" w:type="dxa"/>
          </w:tcPr>
          <w:p>
            <w:pPr>
              <w:pStyle w:val="TableParagraph"/>
              <w:spacing w:line="252" w:lineRule="exact" w:before="1"/>
              <w:ind w:left="15"/>
              <w:rPr>
                <w:sz w:val="21"/>
              </w:rPr>
            </w:pPr>
            <w:r>
              <w:rPr>
                <w:w w:val="100"/>
                <w:sz w:val="21"/>
              </w:rPr>
              <w:t>个</w:t>
            </w:r>
          </w:p>
        </w:tc>
        <w:tc>
          <w:tcPr>
            <w:tcW w:w="1258" w:type="dxa"/>
          </w:tcPr>
          <w:p>
            <w:pPr>
              <w:pStyle w:val="TableParagraph"/>
              <w:spacing w:before="8"/>
              <w:ind w:left="9"/>
              <w:rPr>
                <w:rFonts w:ascii="Times New Roman"/>
                <w:sz w:val="21"/>
              </w:rPr>
            </w:pPr>
            <w:r>
              <w:rPr>
                <w:rFonts w:ascii="Times New Roman"/>
                <w:w w:val="100"/>
                <w:sz w:val="21"/>
              </w:rPr>
              <w:t>1</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12</w:t>
            </w:r>
          </w:p>
        </w:tc>
        <w:tc>
          <w:tcPr>
            <w:tcW w:w="1860" w:type="dxa"/>
          </w:tcPr>
          <w:p>
            <w:pPr>
              <w:pStyle w:val="TableParagraph"/>
              <w:spacing w:line="252" w:lineRule="exact" w:before="1"/>
              <w:ind w:left="71" w:right="57"/>
              <w:rPr>
                <w:sz w:val="21"/>
              </w:rPr>
            </w:pPr>
            <w:r>
              <w:rPr>
                <w:sz w:val="21"/>
              </w:rPr>
              <w:t>消防水带</w:t>
            </w:r>
          </w:p>
        </w:tc>
        <w:tc>
          <w:tcPr>
            <w:tcW w:w="1370" w:type="dxa"/>
          </w:tcPr>
          <w:p>
            <w:pPr>
              <w:pStyle w:val="TableParagraph"/>
              <w:jc w:val="left"/>
              <w:rPr>
                <w:rFonts w:ascii="Times New Roman"/>
                <w:sz w:val="20"/>
              </w:rPr>
            </w:pPr>
          </w:p>
        </w:tc>
        <w:tc>
          <w:tcPr>
            <w:tcW w:w="744" w:type="dxa"/>
          </w:tcPr>
          <w:p>
            <w:pPr>
              <w:pStyle w:val="TableParagraph"/>
              <w:spacing w:before="7"/>
              <w:ind w:left="15"/>
              <w:rPr>
                <w:rFonts w:ascii="Times New Roman"/>
                <w:sz w:val="21"/>
              </w:rPr>
            </w:pPr>
            <w:r>
              <w:rPr>
                <w:rFonts w:ascii="Times New Roman"/>
                <w:w w:val="100"/>
                <w:sz w:val="21"/>
              </w:rPr>
              <w:t>m</w:t>
            </w:r>
          </w:p>
        </w:tc>
        <w:tc>
          <w:tcPr>
            <w:tcW w:w="1258" w:type="dxa"/>
          </w:tcPr>
          <w:p>
            <w:pPr>
              <w:pStyle w:val="TableParagraph"/>
              <w:spacing w:before="7"/>
              <w:ind w:left="128" w:right="119"/>
              <w:rPr>
                <w:rFonts w:ascii="Times New Roman"/>
                <w:sz w:val="21"/>
              </w:rPr>
            </w:pPr>
            <w:r>
              <w:rPr>
                <w:rFonts w:ascii="Times New Roman"/>
                <w:sz w:val="21"/>
              </w:rPr>
              <w:t>120</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3" w:right="129"/>
              <w:rPr>
                <w:rFonts w:ascii="Times New Roman"/>
                <w:sz w:val="21"/>
              </w:rPr>
            </w:pPr>
            <w:r>
              <w:rPr>
                <w:rFonts w:ascii="Times New Roman"/>
                <w:sz w:val="21"/>
              </w:rPr>
              <w:t>13</w:t>
            </w:r>
          </w:p>
        </w:tc>
        <w:tc>
          <w:tcPr>
            <w:tcW w:w="1860" w:type="dxa"/>
          </w:tcPr>
          <w:p>
            <w:pPr>
              <w:pStyle w:val="TableParagraph"/>
              <w:spacing w:line="250" w:lineRule="exact" w:before="1"/>
              <w:ind w:left="68" w:right="57"/>
              <w:rPr>
                <w:sz w:val="21"/>
              </w:rPr>
            </w:pPr>
            <w:r>
              <w:rPr>
                <w:sz w:val="21"/>
              </w:rPr>
              <w:t>消防锨</w:t>
            </w:r>
          </w:p>
        </w:tc>
        <w:tc>
          <w:tcPr>
            <w:tcW w:w="1370" w:type="dxa"/>
          </w:tcPr>
          <w:p>
            <w:pPr>
              <w:pStyle w:val="TableParagraph"/>
              <w:jc w:val="left"/>
              <w:rPr>
                <w:rFonts w:ascii="Times New Roman"/>
                <w:sz w:val="20"/>
              </w:rPr>
            </w:pPr>
          </w:p>
        </w:tc>
        <w:tc>
          <w:tcPr>
            <w:tcW w:w="744" w:type="dxa"/>
          </w:tcPr>
          <w:p>
            <w:pPr>
              <w:pStyle w:val="TableParagraph"/>
              <w:spacing w:line="250" w:lineRule="exact" w:before="1"/>
              <w:ind w:left="15"/>
              <w:rPr>
                <w:sz w:val="21"/>
              </w:rPr>
            </w:pPr>
            <w:r>
              <w:rPr>
                <w:w w:val="100"/>
                <w:sz w:val="21"/>
              </w:rPr>
              <w:t>把</w:t>
            </w:r>
          </w:p>
        </w:tc>
        <w:tc>
          <w:tcPr>
            <w:tcW w:w="1258" w:type="dxa"/>
          </w:tcPr>
          <w:p>
            <w:pPr>
              <w:pStyle w:val="TableParagraph"/>
              <w:spacing w:before="7"/>
              <w:ind w:left="128" w:right="119"/>
              <w:rPr>
                <w:rFonts w:ascii="Times New Roman"/>
                <w:sz w:val="21"/>
              </w:rPr>
            </w:pPr>
            <w:r>
              <w:rPr>
                <w:rFonts w:ascii="Times New Roman"/>
                <w:sz w:val="21"/>
              </w:rPr>
              <w:t>12</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544" w:hRule="atLeast"/>
        </w:trPr>
        <w:tc>
          <w:tcPr>
            <w:tcW w:w="749" w:type="dxa"/>
          </w:tcPr>
          <w:p>
            <w:pPr>
              <w:pStyle w:val="TableParagraph"/>
              <w:spacing w:before="144"/>
              <w:ind w:left="143" w:right="129"/>
              <w:rPr>
                <w:rFonts w:ascii="Times New Roman"/>
                <w:sz w:val="21"/>
              </w:rPr>
            </w:pPr>
            <w:r>
              <w:rPr>
                <w:rFonts w:ascii="Times New Roman"/>
                <w:sz w:val="21"/>
              </w:rPr>
              <w:t>14</w:t>
            </w:r>
          </w:p>
        </w:tc>
        <w:tc>
          <w:tcPr>
            <w:tcW w:w="1860" w:type="dxa"/>
          </w:tcPr>
          <w:p>
            <w:pPr>
              <w:pStyle w:val="TableParagraph"/>
              <w:spacing w:before="1"/>
              <w:ind w:left="73" w:right="57"/>
              <w:rPr>
                <w:sz w:val="21"/>
              </w:rPr>
            </w:pPr>
            <w:r>
              <w:rPr>
                <w:sz w:val="21"/>
              </w:rPr>
              <w:t>一次性注射器、输</w:t>
            </w:r>
          </w:p>
          <w:p>
            <w:pPr>
              <w:pStyle w:val="TableParagraph"/>
              <w:spacing w:line="250" w:lineRule="exact" w:before="4"/>
              <w:ind w:left="68" w:right="57"/>
              <w:rPr>
                <w:sz w:val="21"/>
              </w:rPr>
            </w:pPr>
            <w:r>
              <w:rPr>
                <w:sz w:val="21"/>
              </w:rPr>
              <w:t>液器</w:t>
            </w:r>
          </w:p>
        </w:tc>
        <w:tc>
          <w:tcPr>
            <w:tcW w:w="1370" w:type="dxa"/>
          </w:tcPr>
          <w:p>
            <w:pPr>
              <w:pStyle w:val="TableParagraph"/>
              <w:jc w:val="left"/>
              <w:rPr>
                <w:rFonts w:ascii="Times New Roman"/>
                <w:sz w:val="20"/>
              </w:rPr>
            </w:pPr>
          </w:p>
        </w:tc>
        <w:tc>
          <w:tcPr>
            <w:tcW w:w="744" w:type="dxa"/>
          </w:tcPr>
          <w:p>
            <w:pPr>
              <w:pStyle w:val="TableParagraph"/>
              <w:spacing w:before="138"/>
              <w:ind w:left="15"/>
              <w:rPr>
                <w:sz w:val="21"/>
              </w:rPr>
            </w:pPr>
            <w:r>
              <w:rPr>
                <w:w w:val="100"/>
                <w:sz w:val="21"/>
              </w:rPr>
              <w:t>个</w:t>
            </w:r>
          </w:p>
        </w:tc>
        <w:tc>
          <w:tcPr>
            <w:tcW w:w="1258" w:type="dxa"/>
          </w:tcPr>
          <w:p>
            <w:pPr>
              <w:pStyle w:val="TableParagraph"/>
              <w:spacing w:before="144"/>
              <w:ind w:left="9"/>
              <w:rPr>
                <w:rFonts w:ascii="Times New Roman"/>
                <w:sz w:val="21"/>
              </w:rPr>
            </w:pPr>
            <w:r>
              <w:rPr>
                <w:rFonts w:ascii="Times New Roman"/>
                <w:w w:val="100"/>
                <w:sz w:val="21"/>
              </w:rPr>
              <w:t>6</w:t>
            </w:r>
          </w:p>
        </w:tc>
        <w:tc>
          <w:tcPr>
            <w:tcW w:w="1164" w:type="dxa"/>
          </w:tcPr>
          <w:p>
            <w:pPr>
              <w:pStyle w:val="TableParagraph"/>
              <w:spacing w:before="138"/>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15</w:t>
            </w:r>
          </w:p>
        </w:tc>
        <w:tc>
          <w:tcPr>
            <w:tcW w:w="1860" w:type="dxa"/>
          </w:tcPr>
          <w:p>
            <w:pPr>
              <w:pStyle w:val="TableParagraph"/>
              <w:spacing w:line="252" w:lineRule="exact" w:before="1"/>
              <w:ind w:left="71" w:right="57"/>
              <w:rPr>
                <w:sz w:val="21"/>
              </w:rPr>
            </w:pPr>
            <w:r>
              <w:rPr>
                <w:sz w:val="21"/>
              </w:rPr>
              <w:t>清创缝合包</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个</w:t>
            </w:r>
          </w:p>
        </w:tc>
        <w:tc>
          <w:tcPr>
            <w:tcW w:w="1258" w:type="dxa"/>
          </w:tcPr>
          <w:p>
            <w:pPr>
              <w:pStyle w:val="TableParagraph"/>
              <w:spacing w:before="7"/>
              <w:ind w:left="9"/>
              <w:rPr>
                <w:rFonts w:ascii="Times New Roman"/>
                <w:sz w:val="21"/>
              </w:rPr>
            </w:pPr>
            <w:r>
              <w:rPr>
                <w:rFonts w:ascii="Times New Roman"/>
                <w:w w:val="100"/>
                <w:sz w:val="21"/>
              </w:rPr>
              <w:t>6</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16</w:t>
            </w:r>
          </w:p>
        </w:tc>
        <w:tc>
          <w:tcPr>
            <w:tcW w:w="1860" w:type="dxa"/>
          </w:tcPr>
          <w:p>
            <w:pPr>
              <w:pStyle w:val="TableParagraph"/>
              <w:spacing w:line="252" w:lineRule="exact" w:before="1"/>
              <w:ind w:left="68" w:right="57"/>
              <w:rPr>
                <w:sz w:val="21"/>
              </w:rPr>
            </w:pPr>
            <w:r>
              <w:rPr>
                <w:sz w:val="21"/>
              </w:rPr>
              <w:t>脱脂棉</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张</w:t>
            </w:r>
          </w:p>
        </w:tc>
        <w:tc>
          <w:tcPr>
            <w:tcW w:w="1258" w:type="dxa"/>
          </w:tcPr>
          <w:p>
            <w:pPr>
              <w:pStyle w:val="TableParagraph"/>
              <w:spacing w:before="7"/>
              <w:ind w:left="128" w:right="119"/>
              <w:rPr>
                <w:rFonts w:ascii="Times New Roman"/>
                <w:sz w:val="21"/>
              </w:rPr>
            </w:pPr>
            <w:r>
              <w:rPr>
                <w:rFonts w:ascii="Times New Roman"/>
                <w:sz w:val="21"/>
              </w:rPr>
              <w:t>12</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3" w:right="129"/>
              <w:rPr>
                <w:rFonts w:ascii="Times New Roman"/>
                <w:sz w:val="21"/>
              </w:rPr>
            </w:pPr>
            <w:r>
              <w:rPr>
                <w:rFonts w:ascii="Times New Roman"/>
                <w:sz w:val="21"/>
              </w:rPr>
              <w:t>17</w:t>
            </w:r>
          </w:p>
        </w:tc>
        <w:tc>
          <w:tcPr>
            <w:tcW w:w="1860" w:type="dxa"/>
          </w:tcPr>
          <w:p>
            <w:pPr>
              <w:pStyle w:val="TableParagraph"/>
              <w:spacing w:line="250" w:lineRule="exact" w:before="1"/>
              <w:ind w:left="68" w:right="57"/>
              <w:rPr>
                <w:sz w:val="21"/>
              </w:rPr>
            </w:pPr>
            <w:r>
              <w:rPr>
                <w:sz w:val="21"/>
              </w:rPr>
              <w:t>绷带</w:t>
            </w:r>
          </w:p>
        </w:tc>
        <w:tc>
          <w:tcPr>
            <w:tcW w:w="1370" w:type="dxa"/>
          </w:tcPr>
          <w:p>
            <w:pPr>
              <w:pStyle w:val="TableParagraph"/>
              <w:jc w:val="left"/>
              <w:rPr>
                <w:rFonts w:ascii="Times New Roman"/>
                <w:sz w:val="20"/>
              </w:rPr>
            </w:pPr>
          </w:p>
        </w:tc>
        <w:tc>
          <w:tcPr>
            <w:tcW w:w="744" w:type="dxa"/>
          </w:tcPr>
          <w:p>
            <w:pPr>
              <w:pStyle w:val="TableParagraph"/>
              <w:spacing w:line="250" w:lineRule="exact" w:before="1"/>
              <w:ind w:left="15"/>
              <w:rPr>
                <w:sz w:val="21"/>
              </w:rPr>
            </w:pPr>
            <w:r>
              <w:rPr>
                <w:w w:val="100"/>
                <w:sz w:val="21"/>
              </w:rPr>
              <w:t>包</w:t>
            </w:r>
          </w:p>
        </w:tc>
        <w:tc>
          <w:tcPr>
            <w:tcW w:w="1258" w:type="dxa"/>
          </w:tcPr>
          <w:p>
            <w:pPr>
              <w:pStyle w:val="TableParagraph"/>
              <w:spacing w:before="7"/>
              <w:ind w:left="128" w:right="119"/>
              <w:rPr>
                <w:rFonts w:ascii="Times New Roman"/>
                <w:sz w:val="21"/>
              </w:rPr>
            </w:pPr>
            <w:r>
              <w:rPr>
                <w:rFonts w:ascii="Times New Roman"/>
                <w:sz w:val="21"/>
              </w:rPr>
              <w:t>12</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18</w:t>
            </w:r>
          </w:p>
        </w:tc>
        <w:tc>
          <w:tcPr>
            <w:tcW w:w="1860" w:type="dxa"/>
          </w:tcPr>
          <w:p>
            <w:pPr>
              <w:pStyle w:val="TableParagraph"/>
              <w:spacing w:line="252" w:lineRule="exact" w:before="1"/>
              <w:ind w:left="71" w:right="57"/>
              <w:rPr>
                <w:sz w:val="21"/>
              </w:rPr>
            </w:pPr>
            <w:r>
              <w:rPr>
                <w:sz w:val="21"/>
              </w:rPr>
              <w:t>成人复苏器</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套</w:t>
            </w:r>
          </w:p>
        </w:tc>
        <w:tc>
          <w:tcPr>
            <w:tcW w:w="1258" w:type="dxa"/>
          </w:tcPr>
          <w:p>
            <w:pPr>
              <w:pStyle w:val="TableParagraph"/>
              <w:spacing w:before="7"/>
              <w:ind w:left="9"/>
              <w:rPr>
                <w:rFonts w:ascii="Times New Roman"/>
                <w:sz w:val="21"/>
              </w:rPr>
            </w:pPr>
            <w:r>
              <w:rPr>
                <w:rFonts w:ascii="Times New Roman"/>
                <w:w w:val="100"/>
                <w:sz w:val="21"/>
              </w:rPr>
              <w:t>1</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19</w:t>
            </w:r>
          </w:p>
        </w:tc>
        <w:tc>
          <w:tcPr>
            <w:tcW w:w="1860" w:type="dxa"/>
          </w:tcPr>
          <w:p>
            <w:pPr>
              <w:pStyle w:val="TableParagraph"/>
              <w:spacing w:line="252" w:lineRule="exact" w:before="1"/>
              <w:ind w:left="68" w:right="57"/>
              <w:rPr>
                <w:sz w:val="21"/>
              </w:rPr>
            </w:pPr>
            <w:r>
              <w:rPr>
                <w:sz w:val="21"/>
              </w:rPr>
              <w:t>叩诊锤</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个</w:t>
            </w:r>
          </w:p>
        </w:tc>
        <w:tc>
          <w:tcPr>
            <w:tcW w:w="1258" w:type="dxa"/>
          </w:tcPr>
          <w:p>
            <w:pPr>
              <w:pStyle w:val="TableParagraph"/>
              <w:spacing w:before="7"/>
              <w:ind w:left="9"/>
              <w:rPr>
                <w:rFonts w:ascii="Times New Roman"/>
                <w:sz w:val="21"/>
              </w:rPr>
            </w:pPr>
            <w:r>
              <w:rPr>
                <w:rFonts w:ascii="Times New Roman"/>
                <w:w w:val="100"/>
                <w:sz w:val="21"/>
              </w:rPr>
              <w:t>1</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3" w:right="129"/>
              <w:rPr>
                <w:rFonts w:ascii="Times New Roman"/>
                <w:sz w:val="21"/>
              </w:rPr>
            </w:pPr>
            <w:r>
              <w:rPr>
                <w:rFonts w:ascii="Times New Roman"/>
                <w:sz w:val="21"/>
              </w:rPr>
              <w:t>20</w:t>
            </w:r>
          </w:p>
        </w:tc>
        <w:tc>
          <w:tcPr>
            <w:tcW w:w="1860" w:type="dxa"/>
          </w:tcPr>
          <w:p>
            <w:pPr>
              <w:pStyle w:val="TableParagraph"/>
              <w:spacing w:line="250" w:lineRule="exact" w:before="1"/>
              <w:ind w:left="68" w:right="57"/>
              <w:rPr>
                <w:sz w:val="21"/>
              </w:rPr>
            </w:pPr>
            <w:r>
              <w:rPr>
                <w:sz w:val="21"/>
              </w:rPr>
              <w:t>便携式氧气筒</w:t>
            </w:r>
          </w:p>
        </w:tc>
        <w:tc>
          <w:tcPr>
            <w:tcW w:w="1370" w:type="dxa"/>
          </w:tcPr>
          <w:p>
            <w:pPr>
              <w:pStyle w:val="TableParagraph"/>
              <w:spacing w:before="7"/>
              <w:ind w:left="362" w:right="346"/>
              <w:rPr>
                <w:rFonts w:ascii="Times New Roman"/>
                <w:sz w:val="21"/>
              </w:rPr>
            </w:pPr>
            <w:r>
              <w:rPr>
                <w:rFonts w:ascii="Times New Roman"/>
                <w:sz w:val="21"/>
              </w:rPr>
              <w:t>10L</w:t>
            </w:r>
          </w:p>
        </w:tc>
        <w:tc>
          <w:tcPr>
            <w:tcW w:w="744" w:type="dxa"/>
          </w:tcPr>
          <w:p>
            <w:pPr>
              <w:pStyle w:val="TableParagraph"/>
              <w:spacing w:line="250" w:lineRule="exact" w:before="1"/>
              <w:ind w:left="15"/>
              <w:rPr>
                <w:sz w:val="21"/>
              </w:rPr>
            </w:pPr>
            <w:r>
              <w:rPr>
                <w:w w:val="100"/>
                <w:sz w:val="21"/>
              </w:rPr>
              <w:t>个</w:t>
            </w:r>
          </w:p>
        </w:tc>
        <w:tc>
          <w:tcPr>
            <w:tcW w:w="1258" w:type="dxa"/>
          </w:tcPr>
          <w:p>
            <w:pPr>
              <w:pStyle w:val="TableParagraph"/>
              <w:spacing w:before="7"/>
              <w:ind w:left="9"/>
              <w:rPr>
                <w:rFonts w:ascii="Times New Roman"/>
                <w:sz w:val="21"/>
              </w:rPr>
            </w:pPr>
            <w:r>
              <w:rPr>
                <w:rFonts w:ascii="Times New Roman"/>
                <w:w w:val="100"/>
                <w:sz w:val="21"/>
              </w:rPr>
              <w:t>1</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8"/>
              <w:ind w:left="143" w:right="129"/>
              <w:rPr>
                <w:rFonts w:ascii="Times New Roman"/>
                <w:sz w:val="21"/>
              </w:rPr>
            </w:pPr>
            <w:r>
              <w:rPr>
                <w:rFonts w:ascii="Times New Roman"/>
                <w:sz w:val="21"/>
              </w:rPr>
              <w:t>21</w:t>
            </w:r>
          </w:p>
        </w:tc>
        <w:tc>
          <w:tcPr>
            <w:tcW w:w="1860" w:type="dxa"/>
          </w:tcPr>
          <w:p>
            <w:pPr>
              <w:pStyle w:val="TableParagraph"/>
              <w:spacing w:line="252" w:lineRule="exact" w:before="1"/>
              <w:ind w:left="68" w:right="57"/>
              <w:rPr>
                <w:sz w:val="21"/>
              </w:rPr>
            </w:pPr>
            <w:r>
              <w:rPr>
                <w:sz w:val="21"/>
              </w:rPr>
              <w:t>耐酸服</w:t>
            </w:r>
          </w:p>
        </w:tc>
        <w:tc>
          <w:tcPr>
            <w:tcW w:w="1370" w:type="dxa"/>
          </w:tcPr>
          <w:p>
            <w:pPr>
              <w:pStyle w:val="TableParagraph"/>
              <w:spacing w:before="8"/>
              <w:ind w:left="362" w:right="350"/>
              <w:rPr>
                <w:rFonts w:ascii="Times New Roman"/>
                <w:sz w:val="21"/>
              </w:rPr>
            </w:pPr>
            <w:r>
              <w:rPr>
                <w:rFonts w:ascii="Times New Roman"/>
                <w:sz w:val="21"/>
              </w:rPr>
              <w:t>175</w:t>
            </w:r>
          </w:p>
        </w:tc>
        <w:tc>
          <w:tcPr>
            <w:tcW w:w="744" w:type="dxa"/>
          </w:tcPr>
          <w:p>
            <w:pPr>
              <w:pStyle w:val="TableParagraph"/>
              <w:spacing w:line="252" w:lineRule="exact" w:before="1"/>
              <w:ind w:left="15"/>
              <w:rPr>
                <w:sz w:val="21"/>
              </w:rPr>
            </w:pPr>
            <w:r>
              <w:rPr>
                <w:w w:val="100"/>
                <w:sz w:val="21"/>
              </w:rPr>
              <w:t>套</w:t>
            </w:r>
          </w:p>
        </w:tc>
        <w:tc>
          <w:tcPr>
            <w:tcW w:w="1258" w:type="dxa"/>
          </w:tcPr>
          <w:p>
            <w:pPr>
              <w:pStyle w:val="TableParagraph"/>
              <w:spacing w:before="8"/>
              <w:ind w:left="9"/>
              <w:rPr>
                <w:rFonts w:ascii="Times New Roman"/>
                <w:sz w:val="21"/>
              </w:rPr>
            </w:pPr>
            <w:r>
              <w:rPr>
                <w:rFonts w:ascii="Times New Roman"/>
                <w:w w:val="100"/>
                <w:sz w:val="21"/>
              </w:rPr>
              <w:t>8</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8"/>
              <w:ind w:left="143" w:right="129"/>
              <w:rPr>
                <w:rFonts w:ascii="Times New Roman"/>
                <w:sz w:val="21"/>
              </w:rPr>
            </w:pPr>
            <w:r>
              <w:rPr>
                <w:rFonts w:ascii="Times New Roman"/>
                <w:sz w:val="21"/>
              </w:rPr>
              <w:t>22</w:t>
            </w:r>
          </w:p>
        </w:tc>
        <w:tc>
          <w:tcPr>
            <w:tcW w:w="1860" w:type="dxa"/>
          </w:tcPr>
          <w:p>
            <w:pPr>
              <w:pStyle w:val="TableParagraph"/>
              <w:spacing w:line="252" w:lineRule="exact" w:before="1"/>
              <w:ind w:left="68" w:right="57"/>
              <w:rPr>
                <w:sz w:val="21"/>
              </w:rPr>
            </w:pPr>
            <w:r>
              <w:rPr>
                <w:sz w:val="21"/>
              </w:rPr>
              <w:t>洗眼器</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套</w:t>
            </w:r>
          </w:p>
        </w:tc>
        <w:tc>
          <w:tcPr>
            <w:tcW w:w="1258" w:type="dxa"/>
          </w:tcPr>
          <w:p>
            <w:pPr>
              <w:pStyle w:val="TableParagraph"/>
              <w:spacing w:before="8"/>
              <w:ind w:left="9"/>
              <w:rPr>
                <w:rFonts w:ascii="Times New Roman"/>
                <w:sz w:val="21"/>
              </w:rPr>
            </w:pPr>
            <w:r>
              <w:rPr>
                <w:rFonts w:ascii="Times New Roman"/>
                <w:w w:val="100"/>
                <w:sz w:val="21"/>
              </w:rPr>
              <w:t>2</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3" w:right="129"/>
              <w:rPr>
                <w:rFonts w:ascii="Times New Roman"/>
                <w:sz w:val="21"/>
              </w:rPr>
            </w:pPr>
            <w:r>
              <w:rPr>
                <w:rFonts w:ascii="Times New Roman"/>
                <w:sz w:val="21"/>
              </w:rPr>
              <w:t>23</w:t>
            </w:r>
          </w:p>
        </w:tc>
        <w:tc>
          <w:tcPr>
            <w:tcW w:w="1860" w:type="dxa"/>
          </w:tcPr>
          <w:p>
            <w:pPr>
              <w:pStyle w:val="TableParagraph"/>
              <w:spacing w:line="250" w:lineRule="exact" w:before="1"/>
              <w:ind w:left="71" w:right="57"/>
              <w:rPr>
                <w:sz w:val="21"/>
              </w:rPr>
            </w:pPr>
            <w:r>
              <w:rPr>
                <w:sz w:val="21"/>
              </w:rPr>
              <w:t>沙袋（包）</w:t>
            </w:r>
          </w:p>
        </w:tc>
        <w:tc>
          <w:tcPr>
            <w:tcW w:w="1370" w:type="dxa"/>
          </w:tcPr>
          <w:p>
            <w:pPr>
              <w:pStyle w:val="TableParagraph"/>
              <w:jc w:val="left"/>
              <w:rPr>
                <w:rFonts w:ascii="Times New Roman"/>
                <w:sz w:val="20"/>
              </w:rPr>
            </w:pPr>
          </w:p>
        </w:tc>
        <w:tc>
          <w:tcPr>
            <w:tcW w:w="744" w:type="dxa"/>
          </w:tcPr>
          <w:p>
            <w:pPr>
              <w:pStyle w:val="TableParagraph"/>
              <w:spacing w:line="250" w:lineRule="exact" w:before="1"/>
              <w:ind w:left="15"/>
              <w:rPr>
                <w:sz w:val="21"/>
              </w:rPr>
            </w:pPr>
            <w:r>
              <w:rPr>
                <w:w w:val="100"/>
                <w:sz w:val="21"/>
              </w:rPr>
              <w:t>个</w:t>
            </w:r>
          </w:p>
        </w:tc>
        <w:tc>
          <w:tcPr>
            <w:tcW w:w="1258" w:type="dxa"/>
          </w:tcPr>
          <w:p>
            <w:pPr>
              <w:pStyle w:val="TableParagraph"/>
              <w:spacing w:before="7"/>
              <w:ind w:left="128" w:right="119"/>
              <w:rPr>
                <w:rFonts w:ascii="Times New Roman"/>
                <w:sz w:val="21"/>
              </w:rPr>
            </w:pPr>
            <w:r>
              <w:rPr>
                <w:rFonts w:ascii="Times New Roman"/>
                <w:sz w:val="21"/>
              </w:rPr>
              <w:t>400</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24</w:t>
            </w:r>
          </w:p>
        </w:tc>
        <w:tc>
          <w:tcPr>
            <w:tcW w:w="1860" w:type="dxa"/>
          </w:tcPr>
          <w:p>
            <w:pPr>
              <w:pStyle w:val="TableParagraph"/>
              <w:spacing w:line="252" w:lineRule="exact" w:before="1"/>
              <w:ind w:left="71" w:right="57"/>
              <w:rPr>
                <w:sz w:val="21"/>
              </w:rPr>
            </w:pPr>
            <w:r>
              <w:rPr>
                <w:sz w:val="21"/>
              </w:rPr>
              <w:t>防腐收集泵</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台</w:t>
            </w:r>
          </w:p>
        </w:tc>
        <w:tc>
          <w:tcPr>
            <w:tcW w:w="1258" w:type="dxa"/>
          </w:tcPr>
          <w:p>
            <w:pPr>
              <w:pStyle w:val="TableParagraph"/>
              <w:spacing w:before="7"/>
              <w:ind w:left="9"/>
              <w:rPr>
                <w:rFonts w:ascii="Times New Roman"/>
                <w:sz w:val="21"/>
              </w:rPr>
            </w:pPr>
            <w:r>
              <w:rPr>
                <w:rFonts w:ascii="Times New Roman"/>
                <w:w w:val="100"/>
                <w:sz w:val="21"/>
              </w:rPr>
              <w:t>2</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25</w:t>
            </w:r>
          </w:p>
        </w:tc>
        <w:tc>
          <w:tcPr>
            <w:tcW w:w="1860" w:type="dxa"/>
          </w:tcPr>
          <w:p>
            <w:pPr>
              <w:pStyle w:val="TableParagraph"/>
              <w:spacing w:line="252" w:lineRule="exact" w:before="1"/>
              <w:ind w:left="71" w:right="57"/>
              <w:rPr>
                <w:sz w:val="21"/>
              </w:rPr>
            </w:pPr>
            <w:r>
              <w:rPr>
                <w:sz w:val="21"/>
              </w:rPr>
              <w:t>收集软管</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米</w:t>
            </w:r>
          </w:p>
        </w:tc>
        <w:tc>
          <w:tcPr>
            <w:tcW w:w="1258" w:type="dxa"/>
          </w:tcPr>
          <w:p>
            <w:pPr>
              <w:pStyle w:val="TableParagraph"/>
              <w:spacing w:before="7"/>
              <w:ind w:left="128" w:right="119"/>
              <w:rPr>
                <w:rFonts w:ascii="Times New Roman"/>
                <w:sz w:val="21"/>
              </w:rPr>
            </w:pPr>
            <w:r>
              <w:rPr>
                <w:rFonts w:ascii="Times New Roman"/>
                <w:sz w:val="21"/>
              </w:rPr>
              <w:t>150</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0" w:hRule="atLeast"/>
        </w:trPr>
        <w:tc>
          <w:tcPr>
            <w:tcW w:w="749" w:type="dxa"/>
          </w:tcPr>
          <w:p>
            <w:pPr>
              <w:pStyle w:val="TableParagraph"/>
              <w:spacing w:before="7"/>
              <w:ind w:left="143" w:right="129"/>
              <w:rPr>
                <w:rFonts w:ascii="Times New Roman"/>
                <w:sz w:val="21"/>
              </w:rPr>
            </w:pPr>
            <w:r>
              <w:rPr>
                <w:rFonts w:ascii="Times New Roman"/>
                <w:sz w:val="21"/>
              </w:rPr>
              <w:t>26</w:t>
            </w:r>
          </w:p>
        </w:tc>
        <w:tc>
          <w:tcPr>
            <w:tcW w:w="1860" w:type="dxa"/>
          </w:tcPr>
          <w:p>
            <w:pPr>
              <w:pStyle w:val="TableParagraph"/>
              <w:spacing w:line="250" w:lineRule="exact" w:before="1"/>
              <w:ind w:left="71" w:right="57"/>
              <w:rPr>
                <w:sz w:val="21"/>
              </w:rPr>
            </w:pPr>
            <w:r>
              <w:rPr>
                <w:sz w:val="21"/>
              </w:rPr>
              <w:t>移动电源</w:t>
            </w:r>
          </w:p>
        </w:tc>
        <w:tc>
          <w:tcPr>
            <w:tcW w:w="1370" w:type="dxa"/>
          </w:tcPr>
          <w:p>
            <w:pPr>
              <w:pStyle w:val="TableParagraph"/>
              <w:jc w:val="left"/>
              <w:rPr>
                <w:rFonts w:ascii="Times New Roman"/>
                <w:sz w:val="20"/>
              </w:rPr>
            </w:pPr>
          </w:p>
        </w:tc>
        <w:tc>
          <w:tcPr>
            <w:tcW w:w="744" w:type="dxa"/>
          </w:tcPr>
          <w:p>
            <w:pPr>
              <w:pStyle w:val="TableParagraph"/>
              <w:spacing w:line="250" w:lineRule="exact" w:before="1"/>
              <w:ind w:left="15"/>
              <w:rPr>
                <w:sz w:val="21"/>
              </w:rPr>
            </w:pPr>
            <w:r>
              <w:rPr>
                <w:w w:val="100"/>
                <w:sz w:val="21"/>
              </w:rPr>
              <w:t>个</w:t>
            </w:r>
          </w:p>
        </w:tc>
        <w:tc>
          <w:tcPr>
            <w:tcW w:w="1258" w:type="dxa"/>
          </w:tcPr>
          <w:p>
            <w:pPr>
              <w:pStyle w:val="TableParagraph"/>
              <w:spacing w:before="7"/>
              <w:ind w:left="9"/>
              <w:rPr>
                <w:rFonts w:ascii="Times New Roman"/>
                <w:sz w:val="21"/>
              </w:rPr>
            </w:pPr>
            <w:r>
              <w:rPr>
                <w:rFonts w:ascii="Times New Roman"/>
                <w:w w:val="100"/>
                <w:sz w:val="21"/>
              </w:rPr>
              <w:t>4</w:t>
            </w:r>
          </w:p>
        </w:tc>
        <w:tc>
          <w:tcPr>
            <w:tcW w:w="1164" w:type="dxa"/>
          </w:tcPr>
          <w:p>
            <w:pPr>
              <w:pStyle w:val="TableParagraph"/>
              <w:spacing w:line="250" w:lineRule="exact" w:before="1"/>
              <w:ind w:left="243" w:right="237"/>
              <w:rPr>
                <w:sz w:val="21"/>
              </w:rPr>
            </w:pPr>
            <w:r>
              <w:rPr>
                <w:sz w:val="21"/>
              </w:rPr>
              <w:t>安全员</w:t>
            </w:r>
          </w:p>
        </w:tc>
        <w:tc>
          <w:tcPr>
            <w:tcW w:w="1255" w:type="dxa"/>
            <w:vMerge/>
            <w:tcBorders>
              <w:top w:val="nil"/>
            </w:tcBorders>
          </w:tcPr>
          <w:p>
            <w:pPr>
              <w:rPr>
                <w:sz w:val="2"/>
                <w:szCs w:val="2"/>
              </w:rPr>
            </w:pPr>
          </w:p>
        </w:tc>
      </w:tr>
      <w:tr>
        <w:trPr>
          <w:trHeight w:val="273" w:hRule="atLeast"/>
        </w:trPr>
        <w:tc>
          <w:tcPr>
            <w:tcW w:w="749" w:type="dxa"/>
          </w:tcPr>
          <w:p>
            <w:pPr>
              <w:pStyle w:val="TableParagraph"/>
              <w:spacing w:before="7"/>
              <w:ind w:left="143" w:right="129"/>
              <w:rPr>
                <w:rFonts w:ascii="Times New Roman"/>
                <w:sz w:val="21"/>
              </w:rPr>
            </w:pPr>
            <w:r>
              <w:rPr>
                <w:rFonts w:ascii="Times New Roman"/>
                <w:sz w:val="21"/>
              </w:rPr>
              <w:t>27</w:t>
            </w:r>
          </w:p>
        </w:tc>
        <w:tc>
          <w:tcPr>
            <w:tcW w:w="1860" w:type="dxa"/>
          </w:tcPr>
          <w:p>
            <w:pPr>
              <w:pStyle w:val="TableParagraph"/>
              <w:spacing w:line="252" w:lineRule="exact" w:before="1"/>
              <w:ind w:left="68" w:right="57"/>
              <w:rPr>
                <w:sz w:val="21"/>
              </w:rPr>
            </w:pPr>
            <w:r>
              <w:rPr>
                <w:sz w:val="21"/>
              </w:rPr>
              <w:t>消防沙</w:t>
            </w:r>
          </w:p>
        </w:tc>
        <w:tc>
          <w:tcPr>
            <w:tcW w:w="1370" w:type="dxa"/>
          </w:tcPr>
          <w:p>
            <w:pPr>
              <w:pStyle w:val="TableParagraph"/>
              <w:jc w:val="left"/>
              <w:rPr>
                <w:rFonts w:ascii="Times New Roman"/>
                <w:sz w:val="20"/>
              </w:rPr>
            </w:pPr>
          </w:p>
        </w:tc>
        <w:tc>
          <w:tcPr>
            <w:tcW w:w="744" w:type="dxa"/>
          </w:tcPr>
          <w:p>
            <w:pPr>
              <w:pStyle w:val="TableParagraph"/>
              <w:spacing w:line="252" w:lineRule="exact" w:before="1"/>
              <w:ind w:left="15"/>
              <w:rPr>
                <w:sz w:val="21"/>
              </w:rPr>
            </w:pPr>
            <w:r>
              <w:rPr>
                <w:w w:val="100"/>
                <w:sz w:val="21"/>
              </w:rPr>
              <w:t>吨</w:t>
            </w:r>
          </w:p>
        </w:tc>
        <w:tc>
          <w:tcPr>
            <w:tcW w:w="1258" w:type="dxa"/>
          </w:tcPr>
          <w:p>
            <w:pPr>
              <w:pStyle w:val="TableParagraph"/>
              <w:spacing w:before="7"/>
              <w:ind w:left="9"/>
              <w:rPr>
                <w:rFonts w:ascii="Times New Roman"/>
                <w:sz w:val="21"/>
              </w:rPr>
            </w:pPr>
            <w:r>
              <w:rPr>
                <w:rFonts w:ascii="Times New Roman"/>
                <w:w w:val="100"/>
                <w:sz w:val="21"/>
              </w:rPr>
              <w:t>4</w:t>
            </w:r>
          </w:p>
        </w:tc>
        <w:tc>
          <w:tcPr>
            <w:tcW w:w="1164" w:type="dxa"/>
          </w:tcPr>
          <w:p>
            <w:pPr>
              <w:pStyle w:val="TableParagraph"/>
              <w:spacing w:line="252" w:lineRule="exact" w:before="1"/>
              <w:ind w:left="243" w:right="237"/>
              <w:rPr>
                <w:sz w:val="21"/>
              </w:rPr>
            </w:pPr>
            <w:r>
              <w:rPr>
                <w:sz w:val="21"/>
              </w:rPr>
              <w:t>安全员</w:t>
            </w:r>
          </w:p>
        </w:tc>
        <w:tc>
          <w:tcPr>
            <w:tcW w:w="1255" w:type="dxa"/>
            <w:vMerge/>
            <w:tcBorders>
              <w:top w:val="nil"/>
            </w:tcBorders>
          </w:tcPr>
          <w:p>
            <w:pPr>
              <w:rPr>
                <w:sz w:val="2"/>
                <w:szCs w:val="2"/>
              </w:rPr>
            </w:pPr>
          </w:p>
        </w:tc>
      </w:tr>
    </w:tbl>
    <w:p>
      <w:pPr>
        <w:pStyle w:val="BodyText"/>
        <w:rPr>
          <w:b/>
          <w:sz w:val="20"/>
        </w:rPr>
      </w:pPr>
    </w:p>
    <w:p>
      <w:pPr>
        <w:pStyle w:val="BodyText"/>
        <w:spacing w:before="7"/>
        <w:rPr>
          <w:b/>
          <w:sz w:val="17"/>
        </w:rPr>
      </w:pPr>
    </w:p>
    <w:p>
      <w:pPr>
        <w:spacing w:before="62"/>
        <w:ind w:left="212" w:right="0" w:firstLine="0"/>
        <w:jc w:val="left"/>
        <w:rPr>
          <w:b/>
          <w:sz w:val="28"/>
        </w:rPr>
      </w:pPr>
      <w:r>
        <w:rPr>
          <w:b/>
          <w:sz w:val="28"/>
        </w:rPr>
        <w:t>附件 6：应急处置卡</w:t>
      </w:r>
    </w:p>
    <w:p>
      <w:pPr>
        <w:spacing w:before="186"/>
        <w:ind w:left="2901" w:right="2448" w:firstLine="0"/>
        <w:jc w:val="center"/>
        <w:rPr>
          <w:b/>
          <w:sz w:val="28"/>
        </w:rPr>
      </w:pPr>
      <w:r>
        <w:rPr>
          <w:b/>
          <w:sz w:val="28"/>
        </w:rPr>
        <w:t>液氨事故应急处置卡</w:t>
      </w:r>
    </w:p>
    <w:p>
      <w:pPr>
        <w:pStyle w:val="BodyText"/>
        <w:spacing w:before="8"/>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8"/>
      </w:tblGrid>
      <w:tr>
        <w:trPr>
          <w:trHeight w:val="407" w:hRule="atLeast"/>
        </w:trPr>
        <w:tc>
          <w:tcPr>
            <w:tcW w:w="9348" w:type="dxa"/>
          </w:tcPr>
          <w:p>
            <w:pPr>
              <w:pStyle w:val="TableParagraph"/>
              <w:spacing w:before="1"/>
              <w:ind w:left="107"/>
              <w:jc w:val="left"/>
              <w:rPr>
                <w:sz w:val="21"/>
              </w:rPr>
            </w:pPr>
            <w:r>
              <w:rPr>
                <w:sz w:val="21"/>
              </w:rPr>
              <w:t>危险目标：液氨</w:t>
            </w:r>
          </w:p>
        </w:tc>
      </w:tr>
      <w:tr>
        <w:trPr>
          <w:trHeight w:val="410" w:hRule="atLeast"/>
        </w:trPr>
        <w:tc>
          <w:tcPr>
            <w:tcW w:w="9348" w:type="dxa"/>
          </w:tcPr>
          <w:p>
            <w:pPr>
              <w:pStyle w:val="TableParagraph"/>
              <w:spacing w:before="1"/>
              <w:ind w:left="107"/>
              <w:jc w:val="left"/>
              <w:rPr>
                <w:sz w:val="21"/>
              </w:rPr>
            </w:pPr>
            <w:r>
              <w:rPr>
                <w:sz w:val="21"/>
              </w:rPr>
              <w:t>事故预测：储罐液位超限；储罐、阀门泄漏；管道破裂泄漏；误操作泄漏</w:t>
            </w:r>
          </w:p>
        </w:tc>
      </w:tr>
      <w:tr>
        <w:trPr>
          <w:trHeight w:val="1223" w:hRule="atLeast"/>
        </w:trPr>
        <w:tc>
          <w:tcPr>
            <w:tcW w:w="9348" w:type="dxa"/>
          </w:tcPr>
          <w:p>
            <w:pPr>
              <w:pStyle w:val="TableParagraph"/>
              <w:spacing w:line="364" w:lineRule="auto" w:before="1"/>
              <w:ind w:left="107" w:right="-15"/>
              <w:jc w:val="left"/>
              <w:rPr>
                <w:sz w:val="21"/>
              </w:rPr>
            </w:pPr>
            <w:r>
              <w:rPr>
                <w:sz w:val="21"/>
              </w:rPr>
              <w:t>事故危害：具有腐蚀性，可引起急性中毒，常温下为气态，液氨外漏会迅速蒸发，将人冻伤。极容 </w:t>
            </w:r>
            <w:r>
              <w:rPr>
                <w:spacing w:val="-3"/>
                <w:sz w:val="21"/>
              </w:rPr>
              <w:t>易溶解于水，对口鼻、呼吸道、眼睛等湿润部位容易造成灼伤。易燃，能与空气形成爆炸性混合物，</w:t>
            </w:r>
          </w:p>
          <w:p>
            <w:pPr>
              <w:pStyle w:val="TableParagraph"/>
              <w:spacing w:line="267" w:lineRule="exact"/>
              <w:ind w:left="107"/>
              <w:jc w:val="left"/>
              <w:rPr>
                <w:sz w:val="21"/>
              </w:rPr>
            </w:pPr>
            <w:r>
              <w:rPr>
                <w:sz w:val="21"/>
              </w:rPr>
              <w:t>遇明火、高热引起燃烧爆炸。</w:t>
            </w:r>
          </w:p>
        </w:tc>
      </w:tr>
      <w:tr>
        <w:trPr>
          <w:trHeight w:val="1636" w:hRule="atLeast"/>
        </w:trPr>
        <w:tc>
          <w:tcPr>
            <w:tcW w:w="9348" w:type="dxa"/>
          </w:tcPr>
          <w:p>
            <w:pPr>
              <w:pStyle w:val="TableParagraph"/>
              <w:spacing w:before="1"/>
              <w:ind w:left="107"/>
              <w:jc w:val="left"/>
              <w:rPr>
                <w:sz w:val="21"/>
              </w:rPr>
            </w:pPr>
            <w:r>
              <w:rPr>
                <w:sz w:val="21"/>
              </w:rPr>
              <w:t>事故处置方式：</w:t>
            </w:r>
          </w:p>
          <w:p>
            <w:pPr>
              <w:pStyle w:val="TableParagraph"/>
              <w:numPr>
                <w:ilvl w:val="0"/>
                <w:numId w:val="42"/>
              </w:numPr>
              <w:tabs>
                <w:tab w:pos="268" w:val="left" w:leader="none"/>
              </w:tabs>
              <w:spacing w:line="240" w:lineRule="auto" w:before="141" w:after="0"/>
              <w:ind w:left="267" w:right="0" w:hanging="161"/>
              <w:jc w:val="left"/>
              <w:rPr>
                <w:sz w:val="21"/>
              </w:rPr>
            </w:pPr>
            <w:r>
              <w:rPr>
                <w:spacing w:val="-4"/>
                <w:sz w:val="21"/>
              </w:rPr>
              <w:t>液氨泄漏：找准泄漏部位、关掉阀门，堵住泄露源、抽气降压、启动排空系统，然后再焊补修复。</w:t>
            </w:r>
          </w:p>
          <w:p>
            <w:pPr>
              <w:pStyle w:val="TableParagraph"/>
              <w:numPr>
                <w:ilvl w:val="0"/>
                <w:numId w:val="42"/>
              </w:numPr>
              <w:tabs>
                <w:tab w:pos="268" w:val="left" w:leader="none"/>
              </w:tabs>
              <w:spacing w:line="410" w:lineRule="atLeast" w:before="0" w:after="0"/>
              <w:ind w:left="107" w:right="93" w:firstLine="0"/>
              <w:jc w:val="left"/>
              <w:rPr>
                <w:sz w:val="21"/>
              </w:rPr>
            </w:pPr>
            <w:r>
              <w:rPr>
                <w:spacing w:val="-9"/>
                <w:sz w:val="21"/>
              </w:rPr>
              <w:t>系统超压：查找超压原因，确定系统超压原因为冷凝不及时，油堵，冰堵，还是制冷剂过多？根据</w:t>
            </w:r>
            <w:r>
              <w:rPr>
                <w:spacing w:val="-5"/>
                <w:sz w:val="21"/>
              </w:rPr>
              <w:t>问题原因进行处置，必要时打开安全阀进行紧急放空。</w:t>
            </w:r>
          </w:p>
        </w:tc>
      </w:tr>
    </w:tbl>
    <w:p>
      <w:pPr>
        <w:spacing w:after="0" w:line="410" w:lineRule="atLeast"/>
        <w:jc w:val="left"/>
        <w:rPr>
          <w:sz w:val="21"/>
        </w:rPr>
        <w:sectPr>
          <w:pgSz w:w="11910" w:h="16840"/>
          <w:pgMar w:header="0" w:footer="982" w:top="1120" w:bottom="1180" w:left="920" w:right="13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8"/>
      </w:tblGrid>
      <w:tr>
        <w:trPr>
          <w:trHeight w:val="815" w:hRule="atLeast"/>
        </w:trPr>
        <w:tc>
          <w:tcPr>
            <w:tcW w:w="9348" w:type="dxa"/>
          </w:tcPr>
          <w:p>
            <w:pPr>
              <w:pStyle w:val="TableParagraph"/>
              <w:spacing w:line="266" w:lineRule="exact"/>
              <w:ind w:left="107"/>
              <w:jc w:val="left"/>
              <w:rPr>
                <w:sz w:val="21"/>
              </w:rPr>
            </w:pPr>
            <w:r>
              <w:rPr>
                <w:rFonts w:ascii="Times New Roman" w:eastAsia="Times New Roman"/>
                <w:sz w:val="21"/>
              </w:rPr>
              <w:t>3.</w:t>
            </w:r>
            <w:r>
              <w:rPr>
                <w:sz w:val="21"/>
              </w:rPr>
              <w:t>发生火灾：一旦发生火灾，应第一时间组织灭火救援和人员应急疏散，通知氨制冷控制室，将系统</w:t>
            </w:r>
          </w:p>
          <w:p>
            <w:pPr>
              <w:pStyle w:val="TableParagraph"/>
              <w:spacing w:before="139"/>
              <w:ind w:left="107"/>
              <w:jc w:val="left"/>
              <w:rPr>
                <w:sz w:val="21"/>
              </w:rPr>
            </w:pPr>
            <w:r>
              <w:rPr>
                <w:sz w:val="21"/>
              </w:rPr>
              <w:t>内氨抽回，现场灭火人员消除或控制火灾，确保火灾不影响液氨系统的安全。</w:t>
            </w:r>
          </w:p>
        </w:tc>
      </w:tr>
      <w:tr>
        <w:trPr>
          <w:trHeight w:val="2860" w:hRule="atLeast"/>
        </w:trPr>
        <w:tc>
          <w:tcPr>
            <w:tcW w:w="9348" w:type="dxa"/>
          </w:tcPr>
          <w:p>
            <w:pPr>
              <w:pStyle w:val="TableParagraph"/>
              <w:spacing w:line="364" w:lineRule="auto"/>
              <w:ind w:left="107" w:right="91"/>
              <w:jc w:val="both"/>
              <w:rPr>
                <w:sz w:val="21"/>
              </w:rPr>
            </w:pPr>
            <w:r>
              <w:rPr>
                <w:spacing w:val="-3"/>
                <w:sz w:val="21"/>
              </w:rPr>
              <w:t>泄漏应急处置：迅速撤离泄漏污染区人员至上风处，并立即进行隔离 </w:t>
            </w:r>
            <w:r>
              <w:rPr>
                <w:rFonts w:ascii="Times New Roman" w:eastAsia="Times New Roman"/>
                <w:sz w:val="21"/>
              </w:rPr>
              <w:t>150 </w:t>
            </w:r>
            <w:r>
              <w:rPr>
                <w:spacing w:val="-3"/>
                <w:sz w:val="21"/>
              </w:rPr>
              <w:t>米，严格限制出入，切断火源。建议应急处理人员戴自给正压式呼吸器，穿防毒服。尽可能切断泄漏源。合理通风，加速扩散。高浓度泄漏区，喷含盐酸的雾状水中和、稀释、溶解。构筑围堤或挖坑收容产生的大量废水。如有可能，将残余气或漏出气用排风机送至水洗塔或与塔相连的通风橱内。储罐区最好设稀酸喷洒设施。漏气容器要妥善处理，修复、检验后再用。</w:t>
            </w:r>
          </w:p>
          <w:p>
            <w:pPr>
              <w:pStyle w:val="TableParagraph"/>
              <w:spacing w:line="266" w:lineRule="exact"/>
              <w:ind w:left="107"/>
              <w:jc w:val="left"/>
              <w:rPr>
                <w:sz w:val="21"/>
              </w:rPr>
            </w:pPr>
            <w:r>
              <w:rPr>
                <w:sz w:val="21"/>
              </w:rPr>
              <w:t>废弃物处置方法：建议废料液用水稀释，加盐酸中和后，排入下水道。造纸、纺织、肥料工业中的</w:t>
            </w:r>
          </w:p>
          <w:p>
            <w:pPr>
              <w:pStyle w:val="TableParagraph"/>
              <w:spacing w:before="138"/>
              <w:ind w:left="107"/>
              <w:jc w:val="left"/>
              <w:rPr>
                <w:sz w:val="21"/>
              </w:rPr>
            </w:pPr>
            <w:r>
              <w:rPr>
                <w:sz w:val="21"/>
              </w:rPr>
              <w:t>含氨废料回收使用</w:t>
            </w:r>
          </w:p>
        </w:tc>
      </w:tr>
      <w:tr>
        <w:trPr>
          <w:trHeight w:val="1633" w:hRule="atLeast"/>
        </w:trPr>
        <w:tc>
          <w:tcPr>
            <w:tcW w:w="9348" w:type="dxa"/>
          </w:tcPr>
          <w:p>
            <w:pPr>
              <w:pStyle w:val="TableParagraph"/>
              <w:spacing w:line="364" w:lineRule="auto"/>
              <w:ind w:left="107" w:right="91"/>
              <w:jc w:val="left"/>
              <w:rPr>
                <w:sz w:val="21"/>
              </w:rPr>
            </w:pPr>
            <w:r>
              <w:rPr>
                <w:sz w:val="21"/>
              </w:rPr>
              <w:t>人员救护措施：轻微氨泄漏应急处置可穿轻型防化服，佩戴过滤式氨防毒面罩进入处置，严重氨泄漏必须穿防化服，佩戴正压式空气呼吸器进入处置。</w:t>
            </w:r>
          </w:p>
          <w:p>
            <w:pPr>
              <w:pStyle w:val="TableParagraph"/>
              <w:spacing w:line="267" w:lineRule="exact"/>
              <w:ind w:left="107"/>
              <w:jc w:val="left"/>
              <w:rPr>
                <w:sz w:val="21"/>
              </w:rPr>
            </w:pPr>
            <w:r>
              <w:rPr>
                <w:sz w:val="21"/>
              </w:rPr>
              <w:t>有人员大量吸入氨气时，应迅速脱离现场至空气新鲜处，保持呼吸道畅通。如呼吸困难，给输氧。</w:t>
            </w:r>
          </w:p>
          <w:p>
            <w:pPr>
              <w:pStyle w:val="TableParagraph"/>
              <w:spacing w:before="138"/>
              <w:ind w:left="107"/>
              <w:jc w:val="left"/>
              <w:rPr>
                <w:sz w:val="21"/>
              </w:rPr>
            </w:pPr>
            <w:r>
              <w:rPr>
                <w:sz w:val="21"/>
              </w:rPr>
              <w:t>如呼吸停止，立即进行人工呼吸。就医。</w:t>
            </w:r>
          </w:p>
        </w:tc>
      </w:tr>
      <w:tr>
        <w:trPr>
          <w:trHeight w:val="818" w:hRule="atLeast"/>
        </w:trPr>
        <w:tc>
          <w:tcPr>
            <w:tcW w:w="9348" w:type="dxa"/>
          </w:tcPr>
          <w:p>
            <w:pPr>
              <w:pStyle w:val="TableParagraph"/>
              <w:spacing w:line="266" w:lineRule="exact"/>
              <w:ind w:left="107"/>
              <w:jc w:val="left"/>
              <w:rPr>
                <w:rFonts w:ascii="Times New Roman" w:eastAsia="Times New Roman"/>
                <w:sz w:val="21"/>
              </w:rPr>
            </w:pPr>
            <w:r>
              <w:rPr>
                <w:sz w:val="21"/>
              </w:rPr>
              <w:t>安全负责人：</w:t>
            </w:r>
            <w:r>
              <w:rPr>
                <w:rFonts w:ascii="Times New Roman" w:eastAsia="Times New Roman"/>
                <w:sz w:val="21"/>
              </w:rPr>
              <w:t>2203818</w:t>
            </w:r>
          </w:p>
          <w:p>
            <w:pPr>
              <w:pStyle w:val="TableParagraph"/>
              <w:tabs>
                <w:tab w:pos="1886" w:val="left" w:leader="none"/>
              </w:tabs>
              <w:spacing w:before="139"/>
              <w:ind w:left="107"/>
              <w:jc w:val="left"/>
              <w:rPr>
                <w:rFonts w:ascii="Times New Roman" w:eastAsia="Times New Roman"/>
                <w:sz w:val="21"/>
              </w:rPr>
            </w:pPr>
            <w:r>
              <w:rPr>
                <w:sz w:val="21"/>
              </w:rPr>
              <w:t>消防</w:t>
            </w:r>
            <w:r>
              <w:rPr>
                <w:spacing w:val="-3"/>
                <w:sz w:val="21"/>
              </w:rPr>
              <w:t>大</w:t>
            </w:r>
            <w:r>
              <w:rPr>
                <w:sz w:val="21"/>
              </w:rPr>
              <w:t>队</w:t>
            </w:r>
            <w:r>
              <w:rPr>
                <w:spacing w:val="-3"/>
                <w:sz w:val="21"/>
              </w:rPr>
              <w:t>：</w:t>
            </w:r>
            <w:r>
              <w:rPr>
                <w:rFonts w:ascii="Times New Roman" w:eastAsia="Times New Roman"/>
                <w:spacing w:val="-3"/>
                <w:sz w:val="21"/>
              </w:rPr>
              <w:t>119</w:t>
              <w:tab/>
            </w:r>
            <w:r>
              <w:rPr>
                <w:sz w:val="21"/>
              </w:rPr>
              <w:t>急</w:t>
            </w:r>
            <w:r>
              <w:rPr>
                <w:spacing w:val="-3"/>
                <w:sz w:val="21"/>
              </w:rPr>
              <w:t>救中</w:t>
            </w:r>
            <w:r>
              <w:rPr>
                <w:sz w:val="21"/>
              </w:rPr>
              <w:t>心</w:t>
            </w:r>
            <w:r>
              <w:rPr>
                <w:spacing w:val="-53"/>
                <w:sz w:val="21"/>
              </w:rPr>
              <w:t> </w:t>
            </w:r>
            <w:r>
              <w:rPr>
                <w:rFonts w:ascii="Times New Roman" w:eastAsia="Times New Roman"/>
                <w:sz w:val="21"/>
              </w:rPr>
              <w:t>120</w:t>
            </w:r>
          </w:p>
        </w:tc>
      </w:tr>
    </w:tbl>
    <w:p>
      <w:pPr>
        <w:spacing w:line="353" w:lineRule="exact" w:before="0"/>
        <w:ind w:left="2901" w:right="2448" w:firstLine="0"/>
        <w:jc w:val="center"/>
        <w:rPr>
          <w:b/>
          <w:sz w:val="28"/>
        </w:rPr>
      </w:pPr>
      <w:r>
        <w:rPr>
          <w:b/>
          <w:sz w:val="28"/>
        </w:rPr>
        <w:t>乙腈事故应急处置卡</w:t>
      </w:r>
    </w:p>
    <w:p>
      <w:pPr>
        <w:pStyle w:val="BodyText"/>
        <w:spacing w:before="8"/>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8"/>
      </w:tblGrid>
      <w:tr>
        <w:trPr>
          <w:trHeight w:val="407" w:hRule="atLeast"/>
        </w:trPr>
        <w:tc>
          <w:tcPr>
            <w:tcW w:w="9348" w:type="dxa"/>
          </w:tcPr>
          <w:p>
            <w:pPr>
              <w:pStyle w:val="TableParagraph"/>
              <w:spacing w:before="1"/>
              <w:ind w:left="107"/>
              <w:jc w:val="left"/>
              <w:rPr>
                <w:sz w:val="21"/>
              </w:rPr>
            </w:pPr>
            <w:r>
              <w:rPr>
                <w:sz w:val="21"/>
              </w:rPr>
              <w:t>危险目标：乙腈</w:t>
            </w:r>
          </w:p>
        </w:tc>
      </w:tr>
      <w:tr>
        <w:trPr>
          <w:trHeight w:val="410" w:hRule="atLeast"/>
        </w:trPr>
        <w:tc>
          <w:tcPr>
            <w:tcW w:w="9348" w:type="dxa"/>
          </w:tcPr>
          <w:p>
            <w:pPr>
              <w:pStyle w:val="TableParagraph"/>
              <w:spacing w:before="1"/>
              <w:ind w:left="107"/>
              <w:jc w:val="left"/>
              <w:rPr>
                <w:sz w:val="21"/>
              </w:rPr>
            </w:pPr>
            <w:r>
              <w:rPr>
                <w:sz w:val="21"/>
              </w:rPr>
              <w:t>事故预测：储罐液位超限；储罐、阀门泄漏；管道破裂泄漏；误操作泄漏</w:t>
            </w:r>
          </w:p>
        </w:tc>
      </w:tr>
      <w:tr>
        <w:trPr>
          <w:trHeight w:val="1223" w:hRule="atLeast"/>
        </w:trPr>
        <w:tc>
          <w:tcPr>
            <w:tcW w:w="9348" w:type="dxa"/>
          </w:tcPr>
          <w:p>
            <w:pPr>
              <w:pStyle w:val="TableParagraph"/>
              <w:spacing w:line="364" w:lineRule="auto" w:before="1"/>
              <w:ind w:left="107" w:right="91"/>
              <w:jc w:val="left"/>
              <w:rPr>
                <w:sz w:val="21"/>
              </w:rPr>
            </w:pPr>
            <w:r>
              <w:rPr>
                <w:sz w:val="21"/>
              </w:rPr>
              <w:t>事故危害：易燃，其蒸气与空气可形成爆炸性混合物，遇明火、高热或与氧化剂接触，有引起燃烧爆炸的危险。与氧化剂能发生强烈反应。燃烧时有发光火焰。与硫酸、发烟硫酸、氯磺酸、过氯酸</w:t>
            </w:r>
          </w:p>
          <w:p>
            <w:pPr>
              <w:pStyle w:val="TableParagraph"/>
              <w:tabs>
                <w:tab w:pos="1998" w:val="left" w:leader="none"/>
                <w:tab w:pos="3681" w:val="left" w:leader="none"/>
              </w:tabs>
              <w:spacing w:line="267" w:lineRule="exact"/>
              <w:ind w:left="107"/>
              <w:jc w:val="left"/>
              <w:rPr>
                <w:sz w:val="21"/>
              </w:rPr>
            </w:pPr>
            <w:r>
              <w:rPr>
                <w:sz w:val="21"/>
              </w:rPr>
              <w:t>盐等</w:t>
            </w:r>
            <w:r>
              <w:rPr>
                <w:spacing w:val="-3"/>
                <w:sz w:val="21"/>
              </w:rPr>
              <w:t>反</w:t>
            </w:r>
            <w:r>
              <w:rPr>
                <w:sz w:val="21"/>
              </w:rPr>
              <w:t>应</w:t>
            </w:r>
            <w:r>
              <w:rPr>
                <w:spacing w:val="-3"/>
                <w:sz w:val="21"/>
              </w:rPr>
              <w:t>剧</w:t>
            </w:r>
            <w:r>
              <w:rPr>
                <w:sz w:val="21"/>
              </w:rPr>
              <w:t>烈。</w:t>
              <w:tab/>
              <w:t>有</w:t>
            </w:r>
            <w:r>
              <w:rPr>
                <w:spacing w:val="-3"/>
                <w:sz w:val="21"/>
              </w:rPr>
              <w:t>害</w:t>
            </w:r>
            <w:r>
              <w:rPr>
                <w:sz w:val="21"/>
              </w:rPr>
              <w:t>燃烧</w:t>
            </w:r>
            <w:r>
              <w:rPr>
                <w:spacing w:val="-3"/>
                <w:sz w:val="21"/>
              </w:rPr>
              <w:t>产</w:t>
            </w:r>
            <w:r>
              <w:rPr>
                <w:sz w:val="21"/>
              </w:rPr>
              <w:t>物：</w:t>
              <w:tab/>
            </w:r>
            <w:r>
              <w:rPr>
                <w:spacing w:val="-3"/>
                <w:sz w:val="21"/>
              </w:rPr>
              <w:t>一</w:t>
            </w:r>
            <w:r>
              <w:rPr>
                <w:sz w:val="21"/>
              </w:rPr>
              <w:t>氧</w:t>
            </w:r>
            <w:r>
              <w:rPr>
                <w:spacing w:val="-3"/>
                <w:sz w:val="21"/>
              </w:rPr>
              <w:t>化</w:t>
            </w:r>
            <w:r>
              <w:rPr>
                <w:sz w:val="21"/>
              </w:rPr>
              <w:t>碳</w:t>
            </w:r>
            <w:r>
              <w:rPr>
                <w:spacing w:val="-3"/>
                <w:sz w:val="21"/>
              </w:rPr>
              <w:t>、</w:t>
            </w:r>
            <w:r>
              <w:rPr>
                <w:sz w:val="21"/>
              </w:rPr>
              <w:t>二氧</w:t>
            </w:r>
            <w:r>
              <w:rPr>
                <w:spacing w:val="-3"/>
                <w:sz w:val="21"/>
              </w:rPr>
              <w:t>化</w:t>
            </w:r>
            <w:r>
              <w:rPr>
                <w:sz w:val="21"/>
              </w:rPr>
              <w:t>碳</w:t>
            </w:r>
            <w:r>
              <w:rPr>
                <w:spacing w:val="-3"/>
                <w:sz w:val="21"/>
              </w:rPr>
              <w:t>、</w:t>
            </w:r>
            <w:r>
              <w:rPr>
                <w:sz w:val="21"/>
              </w:rPr>
              <w:t>氧</w:t>
            </w:r>
            <w:r>
              <w:rPr>
                <w:spacing w:val="-3"/>
                <w:sz w:val="21"/>
              </w:rPr>
              <w:t>化</w:t>
            </w:r>
            <w:r>
              <w:rPr>
                <w:sz w:val="21"/>
              </w:rPr>
              <w:t>氮</w:t>
            </w:r>
            <w:r>
              <w:rPr>
                <w:spacing w:val="-3"/>
                <w:sz w:val="21"/>
              </w:rPr>
              <w:t>、</w:t>
            </w:r>
            <w:r>
              <w:rPr>
                <w:sz w:val="21"/>
              </w:rPr>
              <w:t>氰</w:t>
            </w:r>
            <w:r>
              <w:rPr>
                <w:spacing w:val="-3"/>
                <w:sz w:val="21"/>
              </w:rPr>
              <w:t>化</w:t>
            </w:r>
            <w:r>
              <w:rPr>
                <w:sz w:val="21"/>
              </w:rPr>
              <w:t>氢</w:t>
            </w:r>
          </w:p>
        </w:tc>
      </w:tr>
      <w:tr>
        <w:trPr>
          <w:trHeight w:val="1633" w:hRule="atLeast"/>
        </w:trPr>
        <w:tc>
          <w:tcPr>
            <w:tcW w:w="9348" w:type="dxa"/>
          </w:tcPr>
          <w:p>
            <w:pPr>
              <w:pStyle w:val="TableParagraph"/>
              <w:spacing w:before="1"/>
              <w:ind w:left="107"/>
              <w:jc w:val="left"/>
              <w:rPr>
                <w:sz w:val="21"/>
              </w:rPr>
            </w:pPr>
            <w:r>
              <w:rPr>
                <w:sz w:val="21"/>
              </w:rPr>
              <w:t>事故处置方式：</w:t>
            </w:r>
          </w:p>
          <w:p>
            <w:pPr>
              <w:pStyle w:val="TableParagraph"/>
              <w:numPr>
                <w:ilvl w:val="0"/>
                <w:numId w:val="43"/>
              </w:numPr>
              <w:tabs>
                <w:tab w:pos="268" w:val="left" w:leader="none"/>
              </w:tabs>
              <w:spacing w:line="240" w:lineRule="auto" w:before="141" w:after="0"/>
              <w:ind w:left="267" w:right="0" w:hanging="161"/>
              <w:jc w:val="left"/>
              <w:rPr>
                <w:sz w:val="21"/>
              </w:rPr>
            </w:pPr>
            <w:r>
              <w:rPr>
                <w:spacing w:val="-3"/>
                <w:sz w:val="21"/>
              </w:rPr>
              <w:t>乙腈泄漏：找准泄漏部位、关掉阀门，堵住泄露源、启动排空系统，然后再焊补修复。</w:t>
            </w:r>
          </w:p>
          <w:p>
            <w:pPr>
              <w:pStyle w:val="TableParagraph"/>
              <w:numPr>
                <w:ilvl w:val="0"/>
                <w:numId w:val="43"/>
              </w:numPr>
              <w:tabs>
                <w:tab w:pos="268" w:val="left" w:leader="none"/>
              </w:tabs>
              <w:spacing w:line="410" w:lineRule="atLeast" w:before="0" w:after="0"/>
              <w:ind w:left="107" w:right="93" w:firstLine="0"/>
              <w:jc w:val="left"/>
              <w:rPr>
                <w:sz w:val="21"/>
              </w:rPr>
            </w:pPr>
            <w:r>
              <w:rPr>
                <w:spacing w:val="-9"/>
                <w:sz w:val="21"/>
              </w:rPr>
              <w:t>发生火灾：一旦发生火灾，应第一时间组织灭火救援和人员应急疏散，通知氨制冷控制室，将系统</w:t>
            </w:r>
            <w:r>
              <w:rPr>
                <w:spacing w:val="-5"/>
                <w:sz w:val="21"/>
              </w:rPr>
              <w:t>内氨抽回，现场灭火人员消除或控制火灾，确保火灾不影响液氨系统的安全。</w:t>
            </w:r>
          </w:p>
        </w:tc>
      </w:tr>
      <w:tr>
        <w:trPr>
          <w:trHeight w:val="2452" w:hRule="atLeast"/>
        </w:trPr>
        <w:tc>
          <w:tcPr>
            <w:tcW w:w="9348" w:type="dxa"/>
          </w:tcPr>
          <w:p>
            <w:pPr>
              <w:pStyle w:val="TableParagraph"/>
              <w:spacing w:line="364" w:lineRule="auto" w:before="1"/>
              <w:ind w:left="107" w:right="-15"/>
              <w:jc w:val="left"/>
              <w:rPr>
                <w:sz w:val="21"/>
              </w:rPr>
            </w:pPr>
            <w:r>
              <w:rPr>
                <w:sz w:val="21"/>
              </w:rPr>
              <w:t>泄漏应急处置：迅速撤离泄漏污染区人员至安全区，并进行隔离，严格限制出入。切断火源。建议 应急处理人员戴自给正压式呼吸器，穿防毒服。不要直接接触泄漏物。尽可能切断泄漏源。防止流 </w:t>
            </w:r>
            <w:r>
              <w:rPr>
                <w:spacing w:val="-3"/>
                <w:sz w:val="21"/>
              </w:rPr>
              <w:t>入下水道、排洪沟等限制性空间。小量泄漏：用活性炭或其它惰性材料吸收。也可以用大量水冲洗， 洗水稀释后放入废水系统。大量泄漏：构筑围堤或挖坑收容。喷雾状水冷却和稀释蒸汽、保护现场 人员、把泄漏物稀释成不燃物。用防爆泵转移至槽车或专用收集器内，回收或运至废物处理场所处</w:t>
            </w:r>
          </w:p>
          <w:p>
            <w:pPr>
              <w:pStyle w:val="TableParagraph"/>
              <w:spacing w:line="267" w:lineRule="exact"/>
              <w:ind w:left="107"/>
              <w:jc w:val="left"/>
              <w:rPr>
                <w:sz w:val="21"/>
              </w:rPr>
            </w:pPr>
            <w:r>
              <w:rPr>
                <w:w w:val="100"/>
                <w:sz w:val="21"/>
              </w:rPr>
              <w:t>置</w:t>
            </w:r>
          </w:p>
        </w:tc>
      </w:tr>
      <w:tr>
        <w:trPr>
          <w:trHeight w:val="1226" w:hRule="atLeast"/>
        </w:trPr>
        <w:tc>
          <w:tcPr>
            <w:tcW w:w="9348" w:type="dxa"/>
          </w:tcPr>
          <w:p>
            <w:pPr>
              <w:pStyle w:val="TableParagraph"/>
              <w:tabs>
                <w:tab w:pos="7797" w:val="left" w:leader="none"/>
              </w:tabs>
              <w:spacing w:line="364" w:lineRule="auto" w:before="1"/>
              <w:ind w:left="107" w:right="91"/>
              <w:jc w:val="left"/>
              <w:rPr>
                <w:sz w:val="21"/>
              </w:rPr>
            </w:pPr>
            <w:r>
              <w:rPr>
                <w:sz w:val="21"/>
              </w:rPr>
              <w:t>人员</w:t>
            </w:r>
            <w:r>
              <w:rPr>
                <w:spacing w:val="-3"/>
                <w:sz w:val="21"/>
              </w:rPr>
              <w:t>救</w:t>
            </w:r>
            <w:r>
              <w:rPr>
                <w:sz w:val="21"/>
              </w:rPr>
              <w:t>护</w:t>
            </w:r>
            <w:r>
              <w:rPr>
                <w:spacing w:val="-3"/>
                <w:sz w:val="21"/>
              </w:rPr>
              <w:t>措</w:t>
            </w:r>
            <w:r>
              <w:rPr>
                <w:sz w:val="21"/>
              </w:rPr>
              <w:t>施</w:t>
            </w:r>
            <w:r>
              <w:rPr>
                <w:spacing w:val="-24"/>
                <w:sz w:val="21"/>
              </w:rPr>
              <w:t>：</w:t>
            </w:r>
            <w:r>
              <w:rPr>
                <w:sz w:val="21"/>
              </w:rPr>
              <w:t>皮</w:t>
            </w:r>
            <w:r>
              <w:rPr>
                <w:spacing w:val="-3"/>
                <w:sz w:val="21"/>
              </w:rPr>
              <w:t>肤</w:t>
            </w:r>
            <w:r>
              <w:rPr>
                <w:sz w:val="21"/>
              </w:rPr>
              <w:t>接</w:t>
            </w:r>
            <w:r>
              <w:rPr>
                <w:spacing w:val="-3"/>
                <w:sz w:val="21"/>
              </w:rPr>
              <w:t>触</w:t>
            </w:r>
            <w:r>
              <w:rPr>
                <w:sz w:val="21"/>
              </w:rPr>
              <w:t>： </w:t>
            </w:r>
            <w:r>
              <w:rPr>
                <w:spacing w:val="1"/>
                <w:sz w:val="21"/>
              </w:rPr>
              <w:t> </w:t>
            </w:r>
            <w:r>
              <w:rPr>
                <w:spacing w:val="-3"/>
                <w:sz w:val="21"/>
              </w:rPr>
              <w:t>脱</w:t>
            </w:r>
            <w:r>
              <w:rPr>
                <w:sz w:val="21"/>
              </w:rPr>
              <w:t>去</w:t>
            </w:r>
            <w:r>
              <w:rPr>
                <w:spacing w:val="-3"/>
                <w:sz w:val="21"/>
              </w:rPr>
              <w:t>污</w:t>
            </w:r>
            <w:r>
              <w:rPr>
                <w:sz w:val="21"/>
              </w:rPr>
              <w:t>染</w:t>
            </w:r>
            <w:r>
              <w:rPr>
                <w:spacing w:val="-3"/>
                <w:sz w:val="21"/>
              </w:rPr>
              <w:t>的</w:t>
            </w:r>
            <w:r>
              <w:rPr>
                <w:sz w:val="21"/>
              </w:rPr>
              <w:t>衣</w:t>
            </w:r>
            <w:r>
              <w:rPr>
                <w:spacing w:val="-3"/>
                <w:sz w:val="21"/>
              </w:rPr>
              <w:t>着</w:t>
            </w:r>
            <w:r>
              <w:rPr>
                <w:spacing w:val="-22"/>
                <w:sz w:val="21"/>
              </w:rPr>
              <w:t>，</w:t>
            </w:r>
            <w:r>
              <w:rPr>
                <w:spacing w:val="-3"/>
                <w:sz w:val="21"/>
              </w:rPr>
              <w:t>用</w:t>
            </w:r>
            <w:r>
              <w:rPr>
                <w:sz w:val="21"/>
              </w:rPr>
              <w:t>肥皂</w:t>
            </w:r>
            <w:r>
              <w:rPr>
                <w:spacing w:val="-3"/>
                <w:sz w:val="21"/>
              </w:rPr>
              <w:t>水</w:t>
            </w:r>
            <w:r>
              <w:rPr>
                <w:sz w:val="21"/>
              </w:rPr>
              <w:t>和</w:t>
            </w:r>
            <w:r>
              <w:rPr>
                <w:spacing w:val="-3"/>
                <w:sz w:val="21"/>
              </w:rPr>
              <w:t>清</w:t>
            </w:r>
            <w:r>
              <w:rPr>
                <w:sz w:val="21"/>
              </w:rPr>
              <w:t>水</w:t>
            </w:r>
            <w:r>
              <w:rPr>
                <w:spacing w:val="-3"/>
                <w:sz w:val="21"/>
              </w:rPr>
              <w:t>彻</w:t>
            </w:r>
            <w:r>
              <w:rPr>
                <w:sz w:val="21"/>
              </w:rPr>
              <w:t>底</w:t>
            </w:r>
            <w:r>
              <w:rPr>
                <w:spacing w:val="-3"/>
                <w:sz w:val="21"/>
              </w:rPr>
              <w:t>冲</w:t>
            </w:r>
            <w:r>
              <w:rPr>
                <w:sz w:val="21"/>
              </w:rPr>
              <w:t>洗</w:t>
            </w:r>
            <w:r>
              <w:rPr>
                <w:spacing w:val="-3"/>
                <w:sz w:val="21"/>
              </w:rPr>
              <w:t>皮</w:t>
            </w:r>
            <w:r>
              <w:rPr>
                <w:sz w:val="21"/>
              </w:rPr>
              <w:t>肤。</w:t>
              <w:tab/>
            </w:r>
            <w:r>
              <w:rPr>
                <w:spacing w:val="-3"/>
                <w:sz w:val="21"/>
              </w:rPr>
              <w:t>眼</w:t>
            </w:r>
            <w:r>
              <w:rPr>
                <w:sz w:val="21"/>
              </w:rPr>
              <w:t>睛</w:t>
            </w:r>
            <w:r>
              <w:rPr>
                <w:spacing w:val="-3"/>
                <w:sz w:val="21"/>
              </w:rPr>
              <w:t>接</w:t>
            </w:r>
            <w:r>
              <w:rPr>
                <w:sz w:val="21"/>
              </w:rPr>
              <w:t>触：</w:t>
            </w:r>
            <w:r>
              <w:rPr>
                <w:spacing w:val="85"/>
                <w:sz w:val="21"/>
              </w:rPr>
              <w:t> </w:t>
            </w:r>
            <w:r>
              <w:rPr>
                <w:spacing w:val="-15"/>
                <w:sz w:val="21"/>
              </w:rPr>
              <w:t>提</w:t>
            </w:r>
            <w:r>
              <w:rPr>
                <w:sz w:val="21"/>
              </w:rPr>
              <w:t>起眼</w:t>
            </w:r>
            <w:r>
              <w:rPr>
                <w:spacing w:val="-3"/>
                <w:sz w:val="21"/>
              </w:rPr>
              <w:t>睑</w:t>
            </w:r>
            <w:r>
              <w:rPr>
                <w:sz w:val="21"/>
              </w:rPr>
              <w:t>，</w:t>
            </w:r>
            <w:r>
              <w:rPr>
                <w:spacing w:val="-3"/>
                <w:sz w:val="21"/>
              </w:rPr>
              <w:t>用</w:t>
            </w:r>
            <w:r>
              <w:rPr>
                <w:sz w:val="21"/>
              </w:rPr>
              <w:t>流</w:t>
            </w:r>
            <w:r>
              <w:rPr>
                <w:spacing w:val="-3"/>
                <w:sz w:val="21"/>
              </w:rPr>
              <w:t>动</w:t>
            </w:r>
            <w:r>
              <w:rPr>
                <w:sz w:val="21"/>
              </w:rPr>
              <w:t>清</w:t>
            </w:r>
            <w:r>
              <w:rPr>
                <w:spacing w:val="-3"/>
                <w:sz w:val="21"/>
              </w:rPr>
              <w:t>水</w:t>
            </w:r>
            <w:r>
              <w:rPr>
                <w:sz w:val="21"/>
              </w:rPr>
              <w:t>或</w:t>
            </w:r>
            <w:r>
              <w:rPr>
                <w:spacing w:val="-3"/>
                <w:sz w:val="21"/>
              </w:rPr>
              <w:t>生</w:t>
            </w:r>
            <w:r>
              <w:rPr>
                <w:sz w:val="21"/>
              </w:rPr>
              <w:t>理盐</w:t>
            </w:r>
            <w:r>
              <w:rPr>
                <w:spacing w:val="-3"/>
                <w:sz w:val="21"/>
              </w:rPr>
              <w:t>水</w:t>
            </w:r>
            <w:r>
              <w:rPr>
                <w:sz w:val="21"/>
              </w:rPr>
              <w:t>冲</w:t>
            </w:r>
            <w:r>
              <w:rPr>
                <w:spacing w:val="-3"/>
                <w:sz w:val="21"/>
              </w:rPr>
              <w:t>洗</w:t>
            </w:r>
            <w:r>
              <w:rPr>
                <w:sz w:val="21"/>
              </w:rPr>
              <w:t>。</w:t>
            </w:r>
            <w:r>
              <w:rPr>
                <w:spacing w:val="-3"/>
                <w:sz w:val="21"/>
              </w:rPr>
              <w:t>就</w:t>
            </w:r>
            <w:r>
              <w:rPr>
                <w:sz w:val="21"/>
              </w:rPr>
              <w:t>医。</w:t>
            </w:r>
          </w:p>
          <w:p>
            <w:pPr>
              <w:pStyle w:val="TableParagraph"/>
              <w:tabs>
                <w:tab w:pos="959" w:val="left" w:leader="none"/>
              </w:tabs>
              <w:spacing w:line="267" w:lineRule="exact"/>
              <w:ind w:left="107"/>
              <w:jc w:val="left"/>
              <w:rPr>
                <w:sz w:val="21"/>
              </w:rPr>
            </w:pPr>
            <w:r>
              <w:rPr>
                <w:sz w:val="21"/>
              </w:rPr>
              <w:t>吸入：</w:t>
              <w:tab/>
              <w:t>迅速脱离现场至空气新鲜处。保持呼吸道通畅。如呼吸困难，给输氧。如呼吸停止，立即</w:t>
            </w:r>
          </w:p>
        </w:tc>
      </w:tr>
    </w:tbl>
    <w:p>
      <w:pPr>
        <w:spacing w:after="0" w:line="267" w:lineRule="exact"/>
        <w:jc w:val="left"/>
        <w:rPr>
          <w:sz w:val="21"/>
        </w:rPr>
        <w:sectPr>
          <w:pgSz w:w="11910" w:h="16840"/>
          <w:pgMar w:header="0" w:footer="982" w:top="1160" w:bottom="1180" w:left="920" w:right="13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8"/>
      </w:tblGrid>
      <w:tr>
        <w:trPr>
          <w:trHeight w:val="815" w:hRule="atLeast"/>
        </w:trPr>
        <w:tc>
          <w:tcPr>
            <w:tcW w:w="9348" w:type="dxa"/>
          </w:tcPr>
          <w:p>
            <w:pPr>
              <w:pStyle w:val="TableParagraph"/>
              <w:spacing w:line="266" w:lineRule="exact"/>
              <w:ind w:left="107"/>
              <w:jc w:val="left"/>
              <w:rPr>
                <w:sz w:val="21"/>
              </w:rPr>
            </w:pPr>
            <w:r>
              <w:rPr>
                <w:sz w:val="21"/>
              </w:rPr>
              <w:t>进行人工呼吸。就医。</w:t>
            </w:r>
          </w:p>
          <w:p>
            <w:pPr>
              <w:pStyle w:val="TableParagraph"/>
              <w:tabs>
                <w:tab w:pos="950" w:val="left" w:leader="none"/>
              </w:tabs>
              <w:spacing w:before="139"/>
              <w:ind w:left="107"/>
              <w:jc w:val="left"/>
              <w:rPr>
                <w:sz w:val="21"/>
              </w:rPr>
            </w:pPr>
            <w:r>
              <w:rPr>
                <w:sz w:val="21"/>
              </w:rPr>
              <w:t>食入：</w:t>
              <w:tab/>
            </w:r>
            <w:r>
              <w:rPr>
                <w:spacing w:val="-3"/>
                <w:sz w:val="21"/>
              </w:rPr>
              <w:t>饮</w:t>
            </w:r>
            <w:r>
              <w:rPr>
                <w:sz w:val="21"/>
              </w:rPr>
              <w:t>足</w:t>
            </w:r>
            <w:r>
              <w:rPr>
                <w:spacing w:val="-3"/>
                <w:sz w:val="21"/>
              </w:rPr>
              <w:t>量</w:t>
            </w:r>
            <w:r>
              <w:rPr>
                <w:sz w:val="21"/>
              </w:rPr>
              <w:t>温</w:t>
            </w:r>
            <w:r>
              <w:rPr>
                <w:spacing w:val="-3"/>
                <w:sz w:val="21"/>
              </w:rPr>
              <w:t>水</w:t>
            </w:r>
            <w:r>
              <w:rPr>
                <w:sz w:val="21"/>
              </w:rPr>
              <w:t>，</w:t>
            </w:r>
            <w:r>
              <w:rPr>
                <w:spacing w:val="-3"/>
                <w:sz w:val="21"/>
              </w:rPr>
              <w:t>催</w:t>
            </w:r>
            <w:r>
              <w:rPr>
                <w:sz w:val="21"/>
              </w:rPr>
              <w:t>吐</w:t>
            </w:r>
            <w:r>
              <w:rPr>
                <w:spacing w:val="-3"/>
                <w:sz w:val="21"/>
              </w:rPr>
              <w:t>。</w:t>
            </w:r>
            <w:r>
              <w:rPr>
                <w:sz w:val="21"/>
              </w:rPr>
              <w:t>用</w:t>
            </w:r>
            <w:r>
              <w:rPr>
                <w:spacing w:val="-52"/>
                <w:sz w:val="21"/>
              </w:rPr>
              <w:t> </w:t>
            </w:r>
            <w:r>
              <w:rPr>
                <w:rFonts w:ascii="Times New Roman" w:eastAsia="Times New Roman"/>
                <w:sz w:val="21"/>
              </w:rPr>
              <w:t>1:5000</w:t>
            </w:r>
            <w:r>
              <w:rPr>
                <w:rFonts w:ascii="Times New Roman" w:eastAsia="Times New Roman"/>
                <w:spacing w:val="1"/>
                <w:sz w:val="21"/>
              </w:rPr>
              <w:t> </w:t>
            </w:r>
            <w:r>
              <w:rPr>
                <w:spacing w:val="-3"/>
                <w:sz w:val="21"/>
              </w:rPr>
              <w:t>高</w:t>
            </w:r>
            <w:r>
              <w:rPr>
                <w:sz w:val="21"/>
              </w:rPr>
              <w:t>锰</w:t>
            </w:r>
            <w:r>
              <w:rPr>
                <w:spacing w:val="-3"/>
                <w:sz w:val="21"/>
              </w:rPr>
              <w:t>酸</w:t>
            </w:r>
            <w:r>
              <w:rPr>
                <w:sz w:val="21"/>
              </w:rPr>
              <w:t>钾</w:t>
            </w:r>
            <w:r>
              <w:rPr>
                <w:spacing w:val="-3"/>
                <w:sz w:val="21"/>
              </w:rPr>
              <w:t>或</w:t>
            </w:r>
            <w:r>
              <w:rPr>
                <w:sz w:val="21"/>
              </w:rPr>
              <w:t>５％</w:t>
            </w:r>
            <w:r>
              <w:rPr>
                <w:spacing w:val="-3"/>
                <w:sz w:val="21"/>
              </w:rPr>
              <w:t>硫</w:t>
            </w:r>
            <w:r>
              <w:rPr>
                <w:sz w:val="21"/>
              </w:rPr>
              <w:t>代</w:t>
            </w:r>
            <w:r>
              <w:rPr>
                <w:spacing w:val="-3"/>
                <w:sz w:val="21"/>
              </w:rPr>
              <w:t>硫</w:t>
            </w:r>
            <w:r>
              <w:rPr>
                <w:sz w:val="21"/>
              </w:rPr>
              <w:t>酸</w:t>
            </w:r>
            <w:r>
              <w:rPr>
                <w:spacing w:val="-3"/>
                <w:sz w:val="21"/>
              </w:rPr>
              <w:t>钠</w:t>
            </w:r>
            <w:r>
              <w:rPr>
                <w:sz w:val="21"/>
              </w:rPr>
              <w:t>溶</w:t>
            </w:r>
            <w:r>
              <w:rPr>
                <w:spacing w:val="-3"/>
                <w:sz w:val="21"/>
              </w:rPr>
              <w:t>液</w:t>
            </w:r>
            <w:r>
              <w:rPr>
                <w:sz w:val="21"/>
              </w:rPr>
              <w:t>洗</w:t>
            </w:r>
            <w:r>
              <w:rPr>
                <w:spacing w:val="-3"/>
                <w:sz w:val="21"/>
              </w:rPr>
              <w:t>胃</w:t>
            </w:r>
            <w:r>
              <w:rPr>
                <w:sz w:val="21"/>
              </w:rPr>
              <w:t>。就</w:t>
            </w:r>
            <w:r>
              <w:rPr>
                <w:spacing w:val="-3"/>
                <w:sz w:val="21"/>
              </w:rPr>
              <w:t>医</w:t>
            </w:r>
            <w:r>
              <w:rPr>
                <w:sz w:val="21"/>
              </w:rPr>
              <w:t>。</w:t>
            </w:r>
          </w:p>
        </w:tc>
      </w:tr>
      <w:tr>
        <w:trPr>
          <w:trHeight w:val="818" w:hRule="atLeast"/>
        </w:trPr>
        <w:tc>
          <w:tcPr>
            <w:tcW w:w="9348" w:type="dxa"/>
          </w:tcPr>
          <w:p>
            <w:pPr>
              <w:pStyle w:val="TableParagraph"/>
              <w:spacing w:line="266" w:lineRule="exact"/>
              <w:ind w:left="107"/>
              <w:jc w:val="left"/>
              <w:rPr>
                <w:rFonts w:ascii="Times New Roman" w:eastAsia="Times New Roman"/>
                <w:sz w:val="21"/>
              </w:rPr>
            </w:pPr>
            <w:r>
              <w:rPr>
                <w:sz w:val="21"/>
              </w:rPr>
              <w:t>安全负责人：</w:t>
            </w:r>
            <w:r>
              <w:rPr>
                <w:rFonts w:ascii="Times New Roman" w:eastAsia="Times New Roman"/>
                <w:sz w:val="21"/>
              </w:rPr>
              <w:t>2203818</w:t>
            </w:r>
          </w:p>
          <w:p>
            <w:pPr>
              <w:pStyle w:val="TableParagraph"/>
              <w:tabs>
                <w:tab w:pos="1886" w:val="left" w:leader="none"/>
              </w:tabs>
              <w:spacing w:before="141"/>
              <w:ind w:left="107"/>
              <w:jc w:val="left"/>
              <w:rPr>
                <w:rFonts w:ascii="Times New Roman" w:eastAsia="Times New Roman"/>
                <w:sz w:val="21"/>
              </w:rPr>
            </w:pPr>
            <w:r>
              <w:rPr>
                <w:sz w:val="21"/>
              </w:rPr>
              <w:t>消防</w:t>
            </w:r>
            <w:r>
              <w:rPr>
                <w:spacing w:val="-3"/>
                <w:sz w:val="21"/>
              </w:rPr>
              <w:t>大</w:t>
            </w:r>
            <w:r>
              <w:rPr>
                <w:sz w:val="21"/>
              </w:rPr>
              <w:t>队</w:t>
            </w:r>
            <w:r>
              <w:rPr>
                <w:spacing w:val="-3"/>
                <w:sz w:val="21"/>
              </w:rPr>
              <w:t>：</w:t>
            </w:r>
            <w:r>
              <w:rPr>
                <w:rFonts w:ascii="Times New Roman" w:eastAsia="Times New Roman"/>
                <w:spacing w:val="-3"/>
                <w:sz w:val="21"/>
              </w:rPr>
              <w:t>119</w:t>
              <w:tab/>
            </w:r>
            <w:r>
              <w:rPr>
                <w:sz w:val="21"/>
              </w:rPr>
              <w:t>急</w:t>
            </w:r>
            <w:r>
              <w:rPr>
                <w:spacing w:val="-3"/>
                <w:sz w:val="21"/>
              </w:rPr>
              <w:t>救中</w:t>
            </w:r>
            <w:r>
              <w:rPr>
                <w:sz w:val="21"/>
              </w:rPr>
              <w:t>心</w:t>
            </w:r>
            <w:r>
              <w:rPr>
                <w:spacing w:val="-53"/>
                <w:sz w:val="21"/>
              </w:rPr>
              <w:t> </w:t>
            </w:r>
            <w:r>
              <w:rPr>
                <w:rFonts w:ascii="Times New Roman" w:eastAsia="Times New Roman"/>
                <w:sz w:val="21"/>
              </w:rPr>
              <w:t>120</w:t>
            </w:r>
          </w:p>
        </w:tc>
      </w:tr>
    </w:tbl>
    <w:sectPr>
      <w:pgSz w:w="11910" w:h="16840"/>
      <w:pgMar w:header="0" w:footer="982" w:top="1160" w:bottom="1180" w:left="9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66048" from="83.639999pt,778.9198pt" to="511.679999pt,778.9198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0.32193pt;margin-top:779.313232pt;width:14.6pt;height:13.7pt;mso-position-horizontal-relative:page;mso-position-vertical-relative:page;z-index:-260865024"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53760" from="55.200001pt,532.31958pt" to="758.280001pt,532.31958pt" stroked="true" strokeweight=".48pt" strokecolor="#000000">
          <v:stroke dashstyle="solid"/>
          <w10:wrap type="none"/>
        </v:line>
      </w:pict>
    </w:r>
    <w:r>
      <w:rPr/>
      <w:pict>
        <v:shape style="position:absolute;margin-left:400.396149pt;margin-top:532.709595pt;width:12.6pt;height:13.7pt;mso-position-horizontal-relative:page;mso-position-vertical-relative:page;z-index:-260852736" type="#_x0000_t202" filled="false" stroked="false">
          <v:textbox inset="0,0,0,0">
            <w:txbxContent>
              <w:p>
                <w:pPr>
                  <w:spacing w:before="12"/>
                  <w:ind w:left="20" w:right="0" w:firstLine="0"/>
                  <w:jc w:val="left"/>
                  <w:rPr>
                    <w:rFonts w:ascii="Times New Roman"/>
                    <w:sz w:val="21"/>
                  </w:rPr>
                </w:pPr>
                <w:r>
                  <w:rPr>
                    <w:rFonts w:ascii="Times New Roman"/>
                    <w:sz w:val="21"/>
                  </w:rPr>
                  <w:t>53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51712" from="83.639999pt,778.9198pt" to="511.679999pt,778.9198pt" stroked="true" strokeweight=".48pt" strokecolor="#000000">
          <v:stroke dashstyle="solid"/>
          <w10:wrap type="none"/>
        </v:line>
      </w:pict>
    </w:r>
    <w:r>
      <w:rPr/>
      <w:pict>
        <v:shape style="position:absolute;margin-left:290.32193pt;margin-top:779.313232pt;width:14.6pt;height:13.7pt;mso-position-horizontal-relative:page;mso-position-vertical-relative:page;z-index:-26085068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54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49664" from="55.200001pt,779.039795pt" to="540.000001pt,779.039795pt" stroked="true" strokeweight=".48pt" strokecolor="#000000">
          <v:stroke dashstyle="solid"/>
          <w10:wrap type="none"/>
        </v:line>
      </w:pict>
    </w:r>
    <w:r>
      <w:rPr/>
      <w:pict>
        <v:shape style="position:absolute;margin-left:290.32193pt;margin-top:779.429382pt;width:14.6pt;height:13.7pt;mso-position-horizontal-relative:page;mso-position-vertical-relative:page;z-index:-260848640"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67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64000" from="83.639999pt,778.9198pt" to="511.679999pt,778.9198pt" stroked="true" strokeweight=".48pt" strokecolor="#000000">
          <v:stroke dashstyle="solid"/>
          <w10:wrap type="none"/>
        </v:line>
      </w:pict>
    </w:r>
    <w:r>
      <w:rPr/>
      <w:pict>
        <v:shape style="position:absolute;margin-left:292.961914pt;margin-top:779.313232pt;width:9.3pt;height:13.7pt;mso-position-horizontal-relative:page;mso-position-vertical-relative:page;z-index:-260862976"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w w:val="100"/>
                    <w:sz w:val="21"/>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line style="position:absolute;mso-position-horizontal-relative:page;mso-position-vertical-relative:page;z-index:-260861952" from="83.639999pt,778.9198pt" to="511.679999pt,778.9198pt" stroked="true" strokeweight=".48pt" strokecolor="#000000">
          <v:stroke dashstyle="solid"/>
          <w10:wrap type="none"/>
        </v:line>
      </w:pict>
    </w:r>
    <w:r>
      <w:rPr/>
      <w:pict>
        <v:shape style="position:absolute;margin-left:290.32193pt;margin-top:779.313232pt;width:14.6pt;height:13.7pt;mso-position-horizontal-relative:page;mso-position-vertical-relative:page;z-index:-260860928" type="#_x0000_t202" filled="false" stroked="false">
          <v:textbox inset="0,0,0,0">
            <w:txbxContent>
              <w:p>
                <w:pPr>
                  <w:spacing w:before="12"/>
                  <w:ind w:left="44" w:right="0" w:firstLine="0"/>
                  <w:jc w:val="left"/>
                  <w:rPr>
                    <w:rFonts w:ascii="Times New Roman"/>
                    <w:sz w:val="21"/>
                  </w:rPr>
                </w:pPr>
                <w:r>
                  <w:rPr/>
                  <w:fldChar w:fldCharType="begin"/>
                </w:r>
                <w:r>
                  <w:rPr>
                    <w:rFonts w:ascii="Times New Roman"/>
                    <w:sz w:val="21"/>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0.396149pt;margin-top:532.709595pt;width:12.6pt;height:13.7pt;mso-position-horizontal-relative:page;mso-position-vertical-relative:page;z-index:-260859904" type="#_x0000_t202" filled="false" stroked="false">
          <v:textbox inset="0,0,0,0">
            <w:txbxContent>
              <w:p>
                <w:pPr>
                  <w:spacing w:before="12"/>
                  <w:ind w:left="20" w:right="0" w:firstLine="0"/>
                  <w:jc w:val="left"/>
                  <w:rPr>
                    <w:rFonts w:ascii="Times New Roman"/>
                    <w:sz w:val="21"/>
                  </w:rPr>
                </w:pPr>
                <w:r>
                  <w:rPr>
                    <w:rFonts w:ascii="Times New Roman"/>
                    <w:sz w:val="21"/>
                  </w:rPr>
                  <w:t>24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58880" from="55.200001pt,532.31958pt" to="758.280001pt,532.31958pt" stroked="true" strokeweight=".48pt" strokecolor="#000000">
          <v:stroke dashstyle="solid"/>
          <w10:wrap type="none"/>
        </v:line>
      </w:pict>
    </w:r>
    <w:r>
      <w:rPr/>
      <w:pict>
        <v:shape style="position:absolute;margin-left:399.396149pt;margin-top:532.709595pt;width:14.6pt;height:13.7pt;mso-position-horizontal-relative:page;mso-position-vertical-relative:page;z-index:-260857856"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25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56832" from="83.639999pt,778.9198pt" to="511.679999pt,778.9198pt" stroked="true" strokeweight=".48pt" strokecolor="#000000">
          <v:stroke dashstyle="solid"/>
          <w10:wrap type="none"/>
        </v:line>
      </w:pict>
    </w:r>
    <w:r>
      <w:rPr/>
      <w:pict>
        <v:shape style="position:absolute;margin-left:290.32193pt;margin-top:779.313232pt;width:14.6pt;height:13.7pt;mso-position-horizontal-relative:page;mso-position-vertical-relative:page;z-index:-26085580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27</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0.396149pt;margin-top:532.709595pt;width:12.6pt;height:13.7pt;mso-position-horizontal-relative:page;mso-position-vertical-relative:page;z-index:-260854784" type="#_x0000_t202" filled="false" stroked="false">
          <v:textbox inset="0,0,0,0">
            <w:txbxContent>
              <w:p>
                <w:pPr>
                  <w:spacing w:before="12"/>
                  <w:ind w:left="20" w:right="0" w:firstLine="0"/>
                  <w:jc w:val="left"/>
                  <w:rPr>
                    <w:rFonts w:ascii="Times New Roman"/>
                    <w:sz w:val="21"/>
                  </w:rPr>
                </w:pPr>
                <w:r>
                  <w:rPr>
                    <w:rFonts w:ascii="Times New Roman"/>
                    <w:sz w:val="21"/>
                  </w:rPr>
                  <w:t>52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21" w:hanging="422"/>
        <w:jc w:val="left"/>
      </w:pPr>
      <w:rPr>
        <w:rFonts w:hint="default" w:ascii="仿宋" w:hAnsi="仿宋" w:eastAsia="仿宋" w:cs="仿宋"/>
        <w:spacing w:val="-13"/>
        <w:w w:val="100"/>
        <w:sz w:val="26"/>
        <w:szCs w:val="26"/>
        <w:lang w:val="zh-CN" w:eastAsia="zh-CN" w:bidi="zh-CN"/>
      </w:rPr>
    </w:lvl>
    <w:lvl w:ilvl="1">
      <w:start w:val="0"/>
      <w:numFmt w:val="bullet"/>
      <w:lvlText w:val="•"/>
      <w:lvlJc w:val="left"/>
      <w:pPr>
        <w:ind w:left="1312" w:hanging="422"/>
      </w:pPr>
      <w:rPr>
        <w:rFonts w:hint="default"/>
        <w:lang w:val="zh-CN" w:eastAsia="zh-CN" w:bidi="zh-CN"/>
      </w:rPr>
    </w:lvl>
    <w:lvl w:ilvl="2">
      <w:start w:val="0"/>
      <w:numFmt w:val="bullet"/>
      <w:lvlText w:val="•"/>
      <w:lvlJc w:val="left"/>
      <w:pPr>
        <w:ind w:left="2205" w:hanging="422"/>
      </w:pPr>
      <w:rPr>
        <w:rFonts w:hint="default"/>
        <w:lang w:val="zh-CN" w:eastAsia="zh-CN" w:bidi="zh-CN"/>
      </w:rPr>
    </w:lvl>
    <w:lvl w:ilvl="3">
      <w:start w:val="0"/>
      <w:numFmt w:val="bullet"/>
      <w:lvlText w:val="•"/>
      <w:lvlJc w:val="left"/>
      <w:pPr>
        <w:ind w:left="3097" w:hanging="422"/>
      </w:pPr>
      <w:rPr>
        <w:rFonts w:hint="default"/>
        <w:lang w:val="zh-CN" w:eastAsia="zh-CN" w:bidi="zh-CN"/>
      </w:rPr>
    </w:lvl>
    <w:lvl w:ilvl="4">
      <w:start w:val="0"/>
      <w:numFmt w:val="bullet"/>
      <w:lvlText w:val="•"/>
      <w:lvlJc w:val="left"/>
      <w:pPr>
        <w:ind w:left="3990" w:hanging="422"/>
      </w:pPr>
      <w:rPr>
        <w:rFonts w:hint="default"/>
        <w:lang w:val="zh-CN" w:eastAsia="zh-CN" w:bidi="zh-CN"/>
      </w:rPr>
    </w:lvl>
    <w:lvl w:ilvl="5">
      <w:start w:val="0"/>
      <w:numFmt w:val="bullet"/>
      <w:lvlText w:val="•"/>
      <w:lvlJc w:val="left"/>
      <w:pPr>
        <w:ind w:left="4882" w:hanging="422"/>
      </w:pPr>
      <w:rPr>
        <w:rFonts w:hint="default"/>
        <w:lang w:val="zh-CN" w:eastAsia="zh-CN" w:bidi="zh-CN"/>
      </w:rPr>
    </w:lvl>
    <w:lvl w:ilvl="6">
      <w:start w:val="0"/>
      <w:numFmt w:val="bullet"/>
      <w:lvlText w:val="•"/>
      <w:lvlJc w:val="left"/>
      <w:pPr>
        <w:ind w:left="5775" w:hanging="422"/>
      </w:pPr>
      <w:rPr>
        <w:rFonts w:hint="default"/>
        <w:lang w:val="zh-CN" w:eastAsia="zh-CN" w:bidi="zh-CN"/>
      </w:rPr>
    </w:lvl>
    <w:lvl w:ilvl="7">
      <w:start w:val="0"/>
      <w:numFmt w:val="bullet"/>
      <w:lvlText w:val="•"/>
      <w:lvlJc w:val="left"/>
      <w:pPr>
        <w:ind w:left="6667" w:hanging="422"/>
      </w:pPr>
      <w:rPr>
        <w:rFonts w:hint="default"/>
        <w:lang w:val="zh-CN" w:eastAsia="zh-CN" w:bidi="zh-CN"/>
      </w:rPr>
    </w:lvl>
    <w:lvl w:ilvl="8">
      <w:start w:val="0"/>
      <w:numFmt w:val="bullet"/>
      <w:lvlText w:val="•"/>
      <w:lvlJc w:val="left"/>
      <w:pPr>
        <w:ind w:left="7560" w:hanging="422"/>
      </w:pPr>
      <w:rPr>
        <w:rFonts w:hint="default"/>
        <w:lang w:val="zh-CN" w:eastAsia="zh-CN" w:bidi="zh-CN"/>
      </w:rPr>
    </w:lvl>
  </w:abstractNum>
  <w:abstractNum w:abstractNumId="42">
    <w:multiLevelType w:val="hybridMultilevel"/>
    <w:lvl w:ilvl="0">
      <w:start w:val="1"/>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167" w:hanging="160"/>
      </w:pPr>
      <w:rPr>
        <w:rFonts w:hint="default"/>
        <w:lang w:val="zh-CN" w:eastAsia="zh-CN" w:bidi="zh-CN"/>
      </w:rPr>
    </w:lvl>
    <w:lvl w:ilvl="2">
      <w:start w:val="0"/>
      <w:numFmt w:val="bullet"/>
      <w:lvlText w:val="•"/>
      <w:lvlJc w:val="left"/>
      <w:pPr>
        <w:ind w:left="2075" w:hanging="160"/>
      </w:pPr>
      <w:rPr>
        <w:rFonts w:hint="default"/>
        <w:lang w:val="zh-CN" w:eastAsia="zh-CN" w:bidi="zh-CN"/>
      </w:rPr>
    </w:lvl>
    <w:lvl w:ilvl="3">
      <w:start w:val="0"/>
      <w:numFmt w:val="bullet"/>
      <w:lvlText w:val="•"/>
      <w:lvlJc w:val="left"/>
      <w:pPr>
        <w:ind w:left="2983" w:hanging="160"/>
      </w:pPr>
      <w:rPr>
        <w:rFonts w:hint="default"/>
        <w:lang w:val="zh-CN" w:eastAsia="zh-CN" w:bidi="zh-CN"/>
      </w:rPr>
    </w:lvl>
    <w:lvl w:ilvl="4">
      <w:start w:val="0"/>
      <w:numFmt w:val="bullet"/>
      <w:lvlText w:val="•"/>
      <w:lvlJc w:val="left"/>
      <w:pPr>
        <w:ind w:left="3891" w:hanging="160"/>
      </w:pPr>
      <w:rPr>
        <w:rFonts w:hint="default"/>
        <w:lang w:val="zh-CN" w:eastAsia="zh-CN" w:bidi="zh-CN"/>
      </w:rPr>
    </w:lvl>
    <w:lvl w:ilvl="5">
      <w:start w:val="0"/>
      <w:numFmt w:val="bullet"/>
      <w:lvlText w:val="•"/>
      <w:lvlJc w:val="left"/>
      <w:pPr>
        <w:ind w:left="4799" w:hanging="160"/>
      </w:pPr>
      <w:rPr>
        <w:rFonts w:hint="default"/>
        <w:lang w:val="zh-CN" w:eastAsia="zh-CN" w:bidi="zh-CN"/>
      </w:rPr>
    </w:lvl>
    <w:lvl w:ilvl="6">
      <w:start w:val="0"/>
      <w:numFmt w:val="bullet"/>
      <w:lvlText w:val="•"/>
      <w:lvlJc w:val="left"/>
      <w:pPr>
        <w:ind w:left="5706" w:hanging="160"/>
      </w:pPr>
      <w:rPr>
        <w:rFonts w:hint="default"/>
        <w:lang w:val="zh-CN" w:eastAsia="zh-CN" w:bidi="zh-CN"/>
      </w:rPr>
    </w:lvl>
    <w:lvl w:ilvl="7">
      <w:start w:val="0"/>
      <w:numFmt w:val="bullet"/>
      <w:lvlText w:val="•"/>
      <w:lvlJc w:val="left"/>
      <w:pPr>
        <w:ind w:left="6614" w:hanging="160"/>
      </w:pPr>
      <w:rPr>
        <w:rFonts w:hint="default"/>
        <w:lang w:val="zh-CN" w:eastAsia="zh-CN" w:bidi="zh-CN"/>
      </w:rPr>
    </w:lvl>
    <w:lvl w:ilvl="8">
      <w:start w:val="0"/>
      <w:numFmt w:val="bullet"/>
      <w:lvlText w:val="•"/>
      <w:lvlJc w:val="left"/>
      <w:pPr>
        <w:ind w:left="7522" w:hanging="160"/>
      </w:pPr>
      <w:rPr>
        <w:rFonts w:hint="default"/>
        <w:lang w:val="zh-CN" w:eastAsia="zh-CN" w:bidi="zh-CN"/>
      </w:rPr>
    </w:lvl>
  </w:abstractNum>
  <w:abstractNum w:abstractNumId="41">
    <w:multiLevelType w:val="hybridMultilevel"/>
    <w:lvl w:ilvl="0">
      <w:start w:val="1"/>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167" w:hanging="160"/>
      </w:pPr>
      <w:rPr>
        <w:rFonts w:hint="default"/>
        <w:lang w:val="zh-CN" w:eastAsia="zh-CN" w:bidi="zh-CN"/>
      </w:rPr>
    </w:lvl>
    <w:lvl w:ilvl="2">
      <w:start w:val="0"/>
      <w:numFmt w:val="bullet"/>
      <w:lvlText w:val="•"/>
      <w:lvlJc w:val="left"/>
      <w:pPr>
        <w:ind w:left="2075" w:hanging="160"/>
      </w:pPr>
      <w:rPr>
        <w:rFonts w:hint="default"/>
        <w:lang w:val="zh-CN" w:eastAsia="zh-CN" w:bidi="zh-CN"/>
      </w:rPr>
    </w:lvl>
    <w:lvl w:ilvl="3">
      <w:start w:val="0"/>
      <w:numFmt w:val="bullet"/>
      <w:lvlText w:val="•"/>
      <w:lvlJc w:val="left"/>
      <w:pPr>
        <w:ind w:left="2983" w:hanging="160"/>
      </w:pPr>
      <w:rPr>
        <w:rFonts w:hint="default"/>
        <w:lang w:val="zh-CN" w:eastAsia="zh-CN" w:bidi="zh-CN"/>
      </w:rPr>
    </w:lvl>
    <w:lvl w:ilvl="4">
      <w:start w:val="0"/>
      <w:numFmt w:val="bullet"/>
      <w:lvlText w:val="•"/>
      <w:lvlJc w:val="left"/>
      <w:pPr>
        <w:ind w:left="3891" w:hanging="160"/>
      </w:pPr>
      <w:rPr>
        <w:rFonts w:hint="default"/>
        <w:lang w:val="zh-CN" w:eastAsia="zh-CN" w:bidi="zh-CN"/>
      </w:rPr>
    </w:lvl>
    <w:lvl w:ilvl="5">
      <w:start w:val="0"/>
      <w:numFmt w:val="bullet"/>
      <w:lvlText w:val="•"/>
      <w:lvlJc w:val="left"/>
      <w:pPr>
        <w:ind w:left="4799" w:hanging="160"/>
      </w:pPr>
      <w:rPr>
        <w:rFonts w:hint="default"/>
        <w:lang w:val="zh-CN" w:eastAsia="zh-CN" w:bidi="zh-CN"/>
      </w:rPr>
    </w:lvl>
    <w:lvl w:ilvl="6">
      <w:start w:val="0"/>
      <w:numFmt w:val="bullet"/>
      <w:lvlText w:val="•"/>
      <w:lvlJc w:val="left"/>
      <w:pPr>
        <w:ind w:left="5706" w:hanging="160"/>
      </w:pPr>
      <w:rPr>
        <w:rFonts w:hint="default"/>
        <w:lang w:val="zh-CN" w:eastAsia="zh-CN" w:bidi="zh-CN"/>
      </w:rPr>
    </w:lvl>
    <w:lvl w:ilvl="7">
      <w:start w:val="0"/>
      <w:numFmt w:val="bullet"/>
      <w:lvlText w:val="•"/>
      <w:lvlJc w:val="left"/>
      <w:pPr>
        <w:ind w:left="6614" w:hanging="160"/>
      </w:pPr>
      <w:rPr>
        <w:rFonts w:hint="default"/>
        <w:lang w:val="zh-CN" w:eastAsia="zh-CN" w:bidi="zh-CN"/>
      </w:rPr>
    </w:lvl>
    <w:lvl w:ilvl="8">
      <w:start w:val="0"/>
      <w:numFmt w:val="bullet"/>
      <w:lvlText w:val="•"/>
      <w:lvlJc w:val="left"/>
      <w:pPr>
        <w:ind w:left="7522" w:hanging="160"/>
      </w:pPr>
      <w:rPr>
        <w:rFonts w:hint="default"/>
        <w:lang w:val="zh-CN" w:eastAsia="zh-CN" w:bidi="zh-CN"/>
      </w:rPr>
    </w:lvl>
  </w:abstractNum>
  <w:abstractNum w:abstractNumId="40">
    <w:multiLevelType w:val="hybridMultilevel"/>
    <w:lvl w:ilvl="0">
      <w:start w:val="3"/>
      <w:numFmt w:val="decimal"/>
      <w:lvlText w:val="(%1)"/>
      <w:lvlJc w:val="left"/>
      <w:pPr>
        <w:ind w:left="101" w:hanging="424"/>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976" w:hanging="424"/>
      </w:pPr>
      <w:rPr>
        <w:rFonts w:hint="default"/>
        <w:lang w:val="zh-CN" w:eastAsia="zh-CN" w:bidi="zh-CN"/>
      </w:rPr>
    </w:lvl>
    <w:lvl w:ilvl="2">
      <w:start w:val="0"/>
      <w:numFmt w:val="bullet"/>
      <w:lvlText w:val="•"/>
      <w:lvlJc w:val="left"/>
      <w:pPr>
        <w:ind w:left="1853" w:hanging="424"/>
      </w:pPr>
      <w:rPr>
        <w:rFonts w:hint="default"/>
        <w:lang w:val="zh-CN" w:eastAsia="zh-CN" w:bidi="zh-CN"/>
      </w:rPr>
    </w:lvl>
    <w:lvl w:ilvl="3">
      <w:start w:val="0"/>
      <w:numFmt w:val="bullet"/>
      <w:lvlText w:val="•"/>
      <w:lvlJc w:val="left"/>
      <w:pPr>
        <w:ind w:left="2729" w:hanging="424"/>
      </w:pPr>
      <w:rPr>
        <w:rFonts w:hint="default"/>
        <w:lang w:val="zh-CN" w:eastAsia="zh-CN" w:bidi="zh-CN"/>
      </w:rPr>
    </w:lvl>
    <w:lvl w:ilvl="4">
      <w:start w:val="0"/>
      <w:numFmt w:val="bullet"/>
      <w:lvlText w:val="•"/>
      <w:lvlJc w:val="left"/>
      <w:pPr>
        <w:ind w:left="3606" w:hanging="424"/>
      </w:pPr>
      <w:rPr>
        <w:rFonts w:hint="default"/>
        <w:lang w:val="zh-CN" w:eastAsia="zh-CN" w:bidi="zh-CN"/>
      </w:rPr>
    </w:lvl>
    <w:lvl w:ilvl="5">
      <w:start w:val="0"/>
      <w:numFmt w:val="bullet"/>
      <w:lvlText w:val="•"/>
      <w:lvlJc w:val="left"/>
      <w:pPr>
        <w:ind w:left="4482" w:hanging="424"/>
      </w:pPr>
      <w:rPr>
        <w:rFonts w:hint="default"/>
        <w:lang w:val="zh-CN" w:eastAsia="zh-CN" w:bidi="zh-CN"/>
      </w:rPr>
    </w:lvl>
    <w:lvl w:ilvl="6">
      <w:start w:val="0"/>
      <w:numFmt w:val="bullet"/>
      <w:lvlText w:val="•"/>
      <w:lvlJc w:val="left"/>
      <w:pPr>
        <w:ind w:left="5359" w:hanging="424"/>
      </w:pPr>
      <w:rPr>
        <w:rFonts w:hint="default"/>
        <w:lang w:val="zh-CN" w:eastAsia="zh-CN" w:bidi="zh-CN"/>
      </w:rPr>
    </w:lvl>
    <w:lvl w:ilvl="7">
      <w:start w:val="0"/>
      <w:numFmt w:val="bullet"/>
      <w:lvlText w:val="•"/>
      <w:lvlJc w:val="left"/>
      <w:pPr>
        <w:ind w:left="6235" w:hanging="424"/>
      </w:pPr>
      <w:rPr>
        <w:rFonts w:hint="default"/>
        <w:lang w:val="zh-CN" w:eastAsia="zh-CN" w:bidi="zh-CN"/>
      </w:rPr>
    </w:lvl>
    <w:lvl w:ilvl="8">
      <w:start w:val="0"/>
      <w:numFmt w:val="bullet"/>
      <w:lvlText w:val="•"/>
      <w:lvlJc w:val="left"/>
      <w:pPr>
        <w:ind w:left="7112" w:hanging="424"/>
      </w:pPr>
      <w:rPr>
        <w:rFonts w:hint="default"/>
        <w:lang w:val="zh-CN" w:eastAsia="zh-CN" w:bidi="zh-CN"/>
      </w:rPr>
    </w:lvl>
  </w:abstractNum>
  <w:abstractNum w:abstractNumId="39">
    <w:multiLevelType w:val="hybridMultilevel"/>
    <w:lvl w:ilvl="0">
      <w:start w:val="2"/>
      <w:numFmt w:val="decimal"/>
      <w:lvlText w:val="(%1)"/>
      <w:lvlJc w:val="left"/>
      <w:pPr>
        <w:ind w:left="101" w:hanging="424"/>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976" w:hanging="424"/>
      </w:pPr>
      <w:rPr>
        <w:rFonts w:hint="default"/>
        <w:lang w:val="zh-CN" w:eastAsia="zh-CN" w:bidi="zh-CN"/>
      </w:rPr>
    </w:lvl>
    <w:lvl w:ilvl="2">
      <w:start w:val="0"/>
      <w:numFmt w:val="bullet"/>
      <w:lvlText w:val="•"/>
      <w:lvlJc w:val="left"/>
      <w:pPr>
        <w:ind w:left="1853" w:hanging="424"/>
      </w:pPr>
      <w:rPr>
        <w:rFonts w:hint="default"/>
        <w:lang w:val="zh-CN" w:eastAsia="zh-CN" w:bidi="zh-CN"/>
      </w:rPr>
    </w:lvl>
    <w:lvl w:ilvl="3">
      <w:start w:val="0"/>
      <w:numFmt w:val="bullet"/>
      <w:lvlText w:val="•"/>
      <w:lvlJc w:val="left"/>
      <w:pPr>
        <w:ind w:left="2729" w:hanging="424"/>
      </w:pPr>
      <w:rPr>
        <w:rFonts w:hint="default"/>
        <w:lang w:val="zh-CN" w:eastAsia="zh-CN" w:bidi="zh-CN"/>
      </w:rPr>
    </w:lvl>
    <w:lvl w:ilvl="4">
      <w:start w:val="0"/>
      <w:numFmt w:val="bullet"/>
      <w:lvlText w:val="•"/>
      <w:lvlJc w:val="left"/>
      <w:pPr>
        <w:ind w:left="3606" w:hanging="424"/>
      </w:pPr>
      <w:rPr>
        <w:rFonts w:hint="default"/>
        <w:lang w:val="zh-CN" w:eastAsia="zh-CN" w:bidi="zh-CN"/>
      </w:rPr>
    </w:lvl>
    <w:lvl w:ilvl="5">
      <w:start w:val="0"/>
      <w:numFmt w:val="bullet"/>
      <w:lvlText w:val="•"/>
      <w:lvlJc w:val="left"/>
      <w:pPr>
        <w:ind w:left="4482" w:hanging="424"/>
      </w:pPr>
      <w:rPr>
        <w:rFonts w:hint="default"/>
        <w:lang w:val="zh-CN" w:eastAsia="zh-CN" w:bidi="zh-CN"/>
      </w:rPr>
    </w:lvl>
    <w:lvl w:ilvl="6">
      <w:start w:val="0"/>
      <w:numFmt w:val="bullet"/>
      <w:lvlText w:val="•"/>
      <w:lvlJc w:val="left"/>
      <w:pPr>
        <w:ind w:left="5359" w:hanging="424"/>
      </w:pPr>
      <w:rPr>
        <w:rFonts w:hint="default"/>
        <w:lang w:val="zh-CN" w:eastAsia="zh-CN" w:bidi="zh-CN"/>
      </w:rPr>
    </w:lvl>
    <w:lvl w:ilvl="7">
      <w:start w:val="0"/>
      <w:numFmt w:val="bullet"/>
      <w:lvlText w:val="•"/>
      <w:lvlJc w:val="left"/>
      <w:pPr>
        <w:ind w:left="6235" w:hanging="424"/>
      </w:pPr>
      <w:rPr>
        <w:rFonts w:hint="default"/>
        <w:lang w:val="zh-CN" w:eastAsia="zh-CN" w:bidi="zh-CN"/>
      </w:rPr>
    </w:lvl>
    <w:lvl w:ilvl="8">
      <w:start w:val="0"/>
      <w:numFmt w:val="bullet"/>
      <w:lvlText w:val="•"/>
      <w:lvlJc w:val="left"/>
      <w:pPr>
        <w:ind w:left="7112" w:hanging="424"/>
      </w:pPr>
      <w:rPr>
        <w:rFonts w:hint="default"/>
        <w:lang w:val="zh-CN" w:eastAsia="zh-CN" w:bidi="zh-CN"/>
      </w:rPr>
    </w:lvl>
  </w:abstractNum>
  <w:abstractNum w:abstractNumId="38">
    <w:multiLevelType w:val="hybridMultilevel"/>
    <w:lvl w:ilvl="0">
      <w:start w:val="1"/>
      <w:numFmt w:val="decimal"/>
      <w:lvlText w:val="（%1）"/>
      <w:lvlJc w:val="left"/>
      <w:pPr>
        <w:ind w:left="101" w:hanging="702"/>
        <w:jc w:val="left"/>
      </w:pPr>
      <w:rPr>
        <w:rFonts w:hint="default" w:ascii="仿宋" w:hAnsi="仿宋" w:eastAsia="仿宋" w:cs="仿宋"/>
        <w:spacing w:val="-13"/>
        <w:w w:val="100"/>
        <w:sz w:val="26"/>
        <w:szCs w:val="26"/>
        <w:lang w:val="zh-CN" w:eastAsia="zh-CN" w:bidi="zh-CN"/>
      </w:rPr>
    </w:lvl>
    <w:lvl w:ilvl="1">
      <w:start w:val="0"/>
      <w:numFmt w:val="bullet"/>
      <w:lvlText w:val="•"/>
      <w:lvlJc w:val="left"/>
      <w:pPr>
        <w:ind w:left="976" w:hanging="702"/>
      </w:pPr>
      <w:rPr>
        <w:rFonts w:hint="default"/>
        <w:lang w:val="zh-CN" w:eastAsia="zh-CN" w:bidi="zh-CN"/>
      </w:rPr>
    </w:lvl>
    <w:lvl w:ilvl="2">
      <w:start w:val="0"/>
      <w:numFmt w:val="bullet"/>
      <w:lvlText w:val="•"/>
      <w:lvlJc w:val="left"/>
      <w:pPr>
        <w:ind w:left="1853" w:hanging="702"/>
      </w:pPr>
      <w:rPr>
        <w:rFonts w:hint="default"/>
        <w:lang w:val="zh-CN" w:eastAsia="zh-CN" w:bidi="zh-CN"/>
      </w:rPr>
    </w:lvl>
    <w:lvl w:ilvl="3">
      <w:start w:val="0"/>
      <w:numFmt w:val="bullet"/>
      <w:lvlText w:val="•"/>
      <w:lvlJc w:val="left"/>
      <w:pPr>
        <w:ind w:left="2729" w:hanging="702"/>
      </w:pPr>
      <w:rPr>
        <w:rFonts w:hint="default"/>
        <w:lang w:val="zh-CN" w:eastAsia="zh-CN" w:bidi="zh-CN"/>
      </w:rPr>
    </w:lvl>
    <w:lvl w:ilvl="4">
      <w:start w:val="0"/>
      <w:numFmt w:val="bullet"/>
      <w:lvlText w:val="•"/>
      <w:lvlJc w:val="left"/>
      <w:pPr>
        <w:ind w:left="3606" w:hanging="702"/>
      </w:pPr>
      <w:rPr>
        <w:rFonts w:hint="default"/>
        <w:lang w:val="zh-CN" w:eastAsia="zh-CN" w:bidi="zh-CN"/>
      </w:rPr>
    </w:lvl>
    <w:lvl w:ilvl="5">
      <w:start w:val="0"/>
      <w:numFmt w:val="bullet"/>
      <w:lvlText w:val="•"/>
      <w:lvlJc w:val="left"/>
      <w:pPr>
        <w:ind w:left="4482" w:hanging="702"/>
      </w:pPr>
      <w:rPr>
        <w:rFonts w:hint="default"/>
        <w:lang w:val="zh-CN" w:eastAsia="zh-CN" w:bidi="zh-CN"/>
      </w:rPr>
    </w:lvl>
    <w:lvl w:ilvl="6">
      <w:start w:val="0"/>
      <w:numFmt w:val="bullet"/>
      <w:lvlText w:val="•"/>
      <w:lvlJc w:val="left"/>
      <w:pPr>
        <w:ind w:left="5359" w:hanging="702"/>
      </w:pPr>
      <w:rPr>
        <w:rFonts w:hint="default"/>
        <w:lang w:val="zh-CN" w:eastAsia="zh-CN" w:bidi="zh-CN"/>
      </w:rPr>
    </w:lvl>
    <w:lvl w:ilvl="7">
      <w:start w:val="0"/>
      <w:numFmt w:val="bullet"/>
      <w:lvlText w:val="•"/>
      <w:lvlJc w:val="left"/>
      <w:pPr>
        <w:ind w:left="6235" w:hanging="702"/>
      </w:pPr>
      <w:rPr>
        <w:rFonts w:hint="default"/>
        <w:lang w:val="zh-CN" w:eastAsia="zh-CN" w:bidi="zh-CN"/>
      </w:rPr>
    </w:lvl>
    <w:lvl w:ilvl="8">
      <w:start w:val="0"/>
      <w:numFmt w:val="bullet"/>
      <w:lvlText w:val="•"/>
      <w:lvlJc w:val="left"/>
      <w:pPr>
        <w:ind w:left="7112" w:hanging="702"/>
      </w:pPr>
      <w:rPr>
        <w:rFonts w:hint="default"/>
        <w:lang w:val="zh-CN" w:eastAsia="zh-CN" w:bidi="zh-CN"/>
      </w:rPr>
    </w:lvl>
  </w:abstractNum>
  <w:abstractNum w:abstractNumId="37">
    <w:multiLevelType w:val="hybridMultilevel"/>
    <w:lvl w:ilvl="0">
      <w:start w:val="1"/>
      <w:numFmt w:val="decimal"/>
      <w:lvlText w:val="（%1）"/>
      <w:lvlJc w:val="left"/>
      <w:pPr>
        <w:ind w:left="1362" w:hanging="70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110" w:hanging="702"/>
      </w:pPr>
      <w:rPr>
        <w:rFonts w:hint="default"/>
        <w:lang w:val="zh-CN" w:eastAsia="zh-CN" w:bidi="zh-CN"/>
      </w:rPr>
    </w:lvl>
    <w:lvl w:ilvl="2">
      <w:start w:val="0"/>
      <w:numFmt w:val="bullet"/>
      <w:lvlText w:val="•"/>
      <w:lvlJc w:val="left"/>
      <w:pPr>
        <w:ind w:left="2861" w:hanging="702"/>
      </w:pPr>
      <w:rPr>
        <w:rFonts w:hint="default"/>
        <w:lang w:val="zh-CN" w:eastAsia="zh-CN" w:bidi="zh-CN"/>
      </w:rPr>
    </w:lvl>
    <w:lvl w:ilvl="3">
      <w:start w:val="0"/>
      <w:numFmt w:val="bullet"/>
      <w:lvlText w:val="•"/>
      <w:lvlJc w:val="left"/>
      <w:pPr>
        <w:ind w:left="3611" w:hanging="702"/>
      </w:pPr>
      <w:rPr>
        <w:rFonts w:hint="default"/>
        <w:lang w:val="zh-CN" w:eastAsia="zh-CN" w:bidi="zh-CN"/>
      </w:rPr>
    </w:lvl>
    <w:lvl w:ilvl="4">
      <w:start w:val="0"/>
      <w:numFmt w:val="bullet"/>
      <w:lvlText w:val="•"/>
      <w:lvlJc w:val="left"/>
      <w:pPr>
        <w:ind w:left="4362" w:hanging="702"/>
      </w:pPr>
      <w:rPr>
        <w:rFonts w:hint="default"/>
        <w:lang w:val="zh-CN" w:eastAsia="zh-CN" w:bidi="zh-CN"/>
      </w:rPr>
    </w:lvl>
    <w:lvl w:ilvl="5">
      <w:start w:val="0"/>
      <w:numFmt w:val="bullet"/>
      <w:lvlText w:val="•"/>
      <w:lvlJc w:val="left"/>
      <w:pPr>
        <w:ind w:left="5112" w:hanging="702"/>
      </w:pPr>
      <w:rPr>
        <w:rFonts w:hint="default"/>
        <w:lang w:val="zh-CN" w:eastAsia="zh-CN" w:bidi="zh-CN"/>
      </w:rPr>
    </w:lvl>
    <w:lvl w:ilvl="6">
      <w:start w:val="0"/>
      <w:numFmt w:val="bullet"/>
      <w:lvlText w:val="•"/>
      <w:lvlJc w:val="left"/>
      <w:pPr>
        <w:ind w:left="5863" w:hanging="702"/>
      </w:pPr>
      <w:rPr>
        <w:rFonts w:hint="default"/>
        <w:lang w:val="zh-CN" w:eastAsia="zh-CN" w:bidi="zh-CN"/>
      </w:rPr>
    </w:lvl>
    <w:lvl w:ilvl="7">
      <w:start w:val="0"/>
      <w:numFmt w:val="bullet"/>
      <w:lvlText w:val="•"/>
      <w:lvlJc w:val="left"/>
      <w:pPr>
        <w:ind w:left="6613" w:hanging="702"/>
      </w:pPr>
      <w:rPr>
        <w:rFonts w:hint="default"/>
        <w:lang w:val="zh-CN" w:eastAsia="zh-CN" w:bidi="zh-CN"/>
      </w:rPr>
    </w:lvl>
    <w:lvl w:ilvl="8">
      <w:start w:val="0"/>
      <w:numFmt w:val="bullet"/>
      <w:lvlText w:val="•"/>
      <w:lvlJc w:val="left"/>
      <w:pPr>
        <w:ind w:left="7364" w:hanging="702"/>
      </w:pPr>
      <w:rPr>
        <w:rFonts w:hint="default"/>
        <w:lang w:val="zh-CN" w:eastAsia="zh-CN" w:bidi="zh-CN"/>
      </w:rPr>
    </w:lvl>
  </w:abstractNum>
  <w:abstractNum w:abstractNumId="36">
    <w:multiLevelType w:val="hybridMultilevel"/>
    <w:lvl w:ilvl="0">
      <w:start w:val="1"/>
      <w:numFmt w:val="decimal"/>
      <w:lvlText w:val="（%1）"/>
      <w:lvlJc w:val="left"/>
      <w:pPr>
        <w:ind w:left="101" w:hanging="702"/>
        <w:jc w:val="left"/>
      </w:pPr>
      <w:rPr>
        <w:rFonts w:hint="default" w:ascii="仿宋" w:hAnsi="仿宋" w:eastAsia="仿宋" w:cs="仿宋"/>
        <w:spacing w:val="-10"/>
        <w:w w:val="100"/>
        <w:sz w:val="26"/>
        <w:szCs w:val="26"/>
        <w:lang w:val="zh-CN" w:eastAsia="zh-CN" w:bidi="zh-CN"/>
      </w:rPr>
    </w:lvl>
    <w:lvl w:ilvl="1">
      <w:start w:val="0"/>
      <w:numFmt w:val="bullet"/>
      <w:lvlText w:val="•"/>
      <w:lvlJc w:val="left"/>
      <w:pPr>
        <w:ind w:left="976" w:hanging="702"/>
      </w:pPr>
      <w:rPr>
        <w:rFonts w:hint="default"/>
        <w:lang w:val="zh-CN" w:eastAsia="zh-CN" w:bidi="zh-CN"/>
      </w:rPr>
    </w:lvl>
    <w:lvl w:ilvl="2">
      <w:start w:val="0"/>
      <w:numFmt w:val="bullet"/>
      <w:lvlText w:val="•"/>
      <w:lvlJc w:val="left"/>
      <w:pPr>
        <w:ind w:left="1853" w:hanging="702"/>
      </w:pPr>
      <w:rPr>
        <w:rFonts w:hint="default"/>
        <w:lang w:val="zh-CN" w:eastAsia="zh-CN" w:bidi="zh-CN"/>
      </w:rPr>
    </w:lvl>
    <w:lvl w:ilvl="3">
      <w:start w:val="0"/>
      <w:numFmt w:val="bullet"/>
      <w:lvlText w:val="•"/>
      <w:lvlJc w:val="left"/>
      <w:pPr>
        <w:ind w:left="2729" w:hanging="702"/>
      </w:pPr>
      <w:rPr>
        <w:rFonts w:hint="default"/>
        <w:lang w:val="zh-CN" w:eastAsia="zh-CN" w:bidi="zh-CN"/>
      </w:rPr>
    </w:lvl>
    <w:lvl w:ilvl="4">
      <w:start w:val="0"/>
      <w:numFmt w:val="bullet"/>
      <w:lvlText w:val="•"/>
      <w:lvlJc w:val="left"/>
      <w:pPr>
        <w:ind w:left="3606" w:hanging="702"/>
      </w:pPr>
      <w:rPr>
        <w:rFonts w:hint="default"/>
        <w:lang w:val="zh-CN" w:eastAsia="zh-CN" w:bidi="zh-CN"/>
      </w:rPr>
    </w:lvl>
    <w:lvl w:ilvl="5">
      <w:start w:val="0"/>
      <w:numFmt w:val="bullet"/>
      <w:lvlText w:val="•"/>
      <w:lvlJc w:val="left"/>
      <w:pPr>
        <w:ind w:left="4482" w:hanging="702"/>
      </w:pPr>
      <w:rPr>
        <w:rFonts w:hint="default"/>
        <w:lang w:val="zh-CN" w:eastAsia="zh-CN" w:bidi="zh-CN"/>
      </w:rPr>
    </w:lvl>
    <w:lvl w:ilvl="6">
      <w:start w:val="0"/>
      <w:numFmt w:val="bullet"/>
      <w:lvlText w:val="•"/>
      <w:lvlJc w:val="left"/>
      <w:pPr>
        <w:ind w:left="5359" w:hanging="702"/>
      </w:pPr>
      <w:rPr>
        <w:rFonts w:hint="default"/>
        <w:lang w:val="zh-CN" w:eastAsia="zh-CN" w:bidi="zh-CN"/>
      </w:rPr>
    </w:lvl>
    <w:lvl w:ilvl="7">
      <w:start w:val="0"/>
      <w:numFmt w:val="bullet"/>
      <w:lvlText w:val="•"/>
      <w:lvlJc w:val="left"/>
      <w:pPr>
        <w:ind w:left="6235" w:hanging="702"/>
      </w:pPr>
      <w:rPr>
        <w:rFonts w:hint="default"/>
        <w:lang w:val="zh-CN" w:eastAsia="zh-CN" w:bidi="zh-CN"/>
      </w:rPr>
    </w:lvl>
    <w:lvl w:ilvl="8">
      <w:start w:val="0"/>
      <w:numFmt w:val="bullet"/>
      <w:lvlText w:val="•"/>
      <w:lvlJc w:val="left"/>
      <w:pPr>
        <w:ind w:left="7112" w:hanging="702"/>
      </w:pPr>
      <w:rPr>
        <w:rFonts w:hint="default"/>
        <w:lang w:val="zh-CN" w:eastAsia="zh-CN" w:bidi="zh-CN"/>
      </w:rPr>
    </w:lvl>
  </w:abstractNum>
  <w:abstractNum w:abstractNumId="35">
    <w:multiLevelType w:val="hybridMultilevel"/>
    <w:lvl w:ilvl="0">
      <w:start w:val="1"/>
      <w:numFmt w:val="decimal"/>
      <w:lvlText w:val="%1）"/>
      <w:lvlJc w:val="left"/>
      <w:pPr>
        <w:ind w:left="741" w:hanging="424"/>
        <w:jc w:val="left"/>
      </w:pPr>
      <w:rPr>
        <w:rFonts w:hint="default" w:ascii="仿宋" w:hAnsi="仿宋" w:eastAsia="仿宋" w:cs="仿宋"/>
        <w:spacing w:val="-20"/>
        <w:w w:val="100"/>
        <w:sz w:val="26"/>
        <w:szCs w:val="26"/>
        <w:lang w:val="zh-CN" w:eastAsia="zh-CN" w:bidi="zh-CN"/>
      </w:rPr>
    </w:lvl>
    <w:lvl w:ilvl="1">
      <w:start w:val="0"/>
      <w:numFmt w:val="bullet"/>
      <w:lvlText w:val="•"/>
      <w:lvlJc w:val="left"/>
      <w:pPr>
        <w:ind w:left="1662" w:hanging="424"/>
      </w:pPr>
      <w:rPr>
        <w:rFonts w:hint="default"/>
        <w:lang w:val="zh-CN" w:eastAsia="zh-CN" w:bidi="zh-CN"/>
      </w:rPr>
    </w:lvl>
    <w:lvl w:ilvl="2">
      <w:start w:val="0"/>
      <w:numFmt w:val="bullet"/>
      <w:lvlText w:val="•"/>
      <w:lvlJc w:val="left"/>
      <w:pPr>
        <w:ind w:left="2585" w:hanging="424"/>
      </w:pPr>
      <w:rPr>
        <w:rFonts w:hint="default"/>
        <w:lang w:val="zh-CN" w:eastAsia="zh-CN" w:bidi="zh-CN"/>
      </w:rPr>
    </w:lvl>
    <w:lvl w:ilvl="3">
      <w:start w:val="0"/>
      <w:numFmt w:val="bullet"/>
      <w:lvlText w:val="•"/>
      <w:lvlJc w:val="left"/>
      <w:pPr>
        <w:ind w:left="3507" w:hanging="424"/>
      </w:pPr>
      <w:rPr>
        <w:rFonts w:hint="default"/>
        <w:lang w:val="zh-CN" w:eastAsia="zh-CN" w:bidi="zh-CN"/>
      </w:rPr>
    </w:lvl>
    <w:lvl w:ilvl="4">
      <w:start w:val="0"/>
      <w:numFmt w:val="bullet"/>
      <w:lvlText w:val="•"/>
      <w:lvlJc w:val="left"/>
      <w:pPr>
        <w:ind w:left="4430" w:hanging="424"/>
      </w:pPr>
      <w:rPr>
        <w:rFonts w:hint="default"/>
        <w:lang w:val="zh-CN" w:eastAsia="zh-CN" w:bidi="zh-CN"/>
      </w:rPr>
    </w:lvl>
    <w:lvl w:ilvl="5">
      <w:start w:val="0"/>
      <w:numFmt w:val="bullet"/>
      <w:lvlText w:val="•"/>
      <w:lvlJc w:val="left"/>
      <w:pPr>
        <w:ind w:left="5352" w:hanging="424"/>
      </w:pPr>
      <w:rPr>
        <w:rFonts w:hint="default"/>
        <w:lang w:val="zh-CN" w:eastAsia="zh-CN" w:bidi="zh-CN"/>
      </w:rPr>
    </w:lvl>
    <w:lvl w:ilvl="6">
      <w:start w:val="0"/>
      <w:numFmt w:val="bullet"/>
      <w:lvlText w:val="•"/>
      <w:lvlJc w:val="left"/>
      <w:pPr>
        <w:ind w:left="6275" w:hanging="424"/>
      </w:pPr>
      <w:rPr>
        <w:rFonts w:hint="default"/>
        <w:lang w:val="zh-CN" w:eastAsia="zh-CN" w:bidi="zh-CN"/>
      </w:rPr>
    </w:lvl>
    <w:lvl w:ilvl="7">
      <w:start w:val="0"/>
      <w:numFmt w:val="bullet"/>
      <w:lvlText w:val="•"/>
      <w:lvlJc w:val="left"/>
      <w:pPr>
        <w:ind w:left="7197" w:hanging="424"/>
      </w:pPr>
      <w:rPr>
        <w:rFonts w:hint="default"/>
        <w:lang w:val="zh-CN" w:eastAsia="zh-CN" w:bidi="zh-CN"/>
      </w:rPr>
    </w:lvl>
    <w:lvl w:ilvl="8">
      <w:start w:val="0"/>
      <w:numFmt w:val="bullet"/>
      <w:lvlText w:val="•"/>
      <w:lvlJc w:val="left"/>
      <w:pPr>
        <w:ind w:left="8120" w:hanging="424"/>
      </w:pPr>
      <w:rPr>
        <w:rFonts w:hint="default"/>
        <w:lang w:val="zh-CN" w:eastAsia="zh-CN" w:bidi="zh-CN"/>
      </w:rPr>
    </w:lvl>
  </w:abstractNum>
  <w:abstractNum w:abstractNumId="34">
    <w:multiLevelType w:val="hybridMultilevel"/>
    <w:lvl w:ilvl="0">
      <w:start w:val="1"/>
      <w:numFmt w:val="decimal"/>
      <w:lvlText w:val="%1）"/>
      <w:lvlJc w:val="left"/>
      <w:pPr>
        <w:ind w:left="741" w:hanging="422"/>
        <w:jc w:val="left"/>
      </w:pPr>
      <w:rPr>
        <w:rFonts w:hint="default" w:ascii="仿宋" w:hAnsi="仿宋" w:eastAsia="仿宋" w:cs="仿宋"/>
        <w:spacing w:val="-13"/>
        <w:w w:val="100"/>
        <w:sz w:val="26"/>
        <w:szCs w:val="26"/>
        <w:lang w:val="zh-CN" w:eastAsia="zh-CN" w:bidi="zh-CN"/>
      </w:rPr>
    </w:lvl>
    <w:lvl w:ilvl="1">
      <w:start w:val="0"/>
      <w:numFmt w:val="bullet"/>
      <w:lvlText w:val="•"/>
      <w:lvlJc w:val="left"/>
      <w:pPr>
        <w:ind w:left="1662" w:hanging="422"/>
      </w:pPr>
      <w:rPr>
        <w:rFonts w:hint="default"/>
        <w:lang w:val="zh-CN" w:eastAsia="zh-CN" w:bidi="zh-CN"/>
      </w:rPr>
    </w:lvl>
    <w:lvl w:ilvl="2">
      <w:start w:val="0"/>
      <w:numFmt w:val="bullet"/>
      <w:lvlText w:val="•"/>
      <w:lvlJc w:val="left"/>
      <w:pPr>
        <w:ind w:left="2585" w:hanging="422"/>
      </w:pPr>
      <w:rPr>
        <w:rFonts w:hint="default"/>
        <w:lang w:val="zh-CN" w:eastAsia="zh-CN" w:bidi="zh-CN"/>
      </w:rPr>
    </w:lvl>
    <w:lvl w:ilvl="3">
      <w:start w:val="0"/>
      <w:numFmt w:val="bullet"/>
      <w:lvlText w:val="•"/>
      <w:lvlJc w:val="left"/>
      <w:pPr>
        <w:ind w:left="3507" w:hanging="422"/>
      </w:pPr>
      <w:rPr>
        <w:rFonts w:hint="default"/>
        <w:lang w:val="zh-CN" w:eastAsia="zh-CN" w:bidi="zh-CN"/>
      </w:rPr>
    </w:lvl>
    <w:lvl w:ilvl="4">
      <w:start w:val="0"/>
      <w:numFmt w:val="bullet"/>
      <w:lvlText w:val="•"/>
      <w:lvlJc w:val="left"/>
      <w:pPr>
        <w:ind w:left="4430" w:hanging="422"/>
      </w:pPr>
      <w:rPr>
        <w:rFonts w:hint="default"/>
        <w:lang w:val="zh-CN" w:eastAsia="zh-CN" w:bidi="zh-CN"/>
      </w:rPr>
    </w:lvl>
    <w:lvl w:ilvl="5">
      <w:start w:val="0"/>
      <w:numFmt w:val="bullet"/>
      <w:lvlText w:val="•"/>
      <w:lvlJc w:val="left"/>
      <w:pPr>
        <w:ind w:left="5352" w:hanging="422"/>
      </w:pPr>
      <w:rPr>
        <w:rFonts w:hint="default"/>
        <w:lang w:val="zh-CN" w:eastAsia="zh-CN" w:bidi="zh-CN"/>
      </w:rPr>
    </w:lvl>
    <w:lvl w:ilvl="6">
      <w:start w:val="0"/>
      <w:numFmt w:val="bullet"/>
      <w:lvlText w:val="•"/>
      <w:lvlJc w:val="left"/>
      <w:pPr>
        <w:ind w:left="6275" w:hanging="422"/>
      </w:pPr>
      <w:rPr>
        <w:rFonts w:hint="default"/>
        <w:lang w:val="zh-CN" w:eastAsia="zh-CN" w:bidi="zh-CN"/>
      </w:rPr>
    </w:lvl>
    <w:lvl w:ilvl="7">
      <w:start w:val="0"/>
      <w:numFmt w:val="bullet"/>
      <w:lvlText w:val="•"/>
      <w:lvlJc w:val="left"/>
      <w:pPr>
        <w:ind w:left="7197" w:hanging="422"/>
      </w:pPr>
      <w:rPr>
        <w:rFonts w:hint="default"/>
        <w:lang w:val="zh-CN" w:eastAsia="zh-CN" w:bidi="zh-CN"/>
      </w:rPr>
    </w:lvl>
    <w:lvl w:ilvl="8">
      <w:start w:val="0"/>
      <w:numFmt w:val="bullet"/>
      <w:lvlText w:val="•"/>
      <w:lvlJc w:val="left"/>
      <w:pPr>
        <w:ind w:left="8120" w:hanging="422"/>
      </w:pPr>
      <w:rPr>
        <w:rFonts w:hint="default"/>
        <w:lang w:val="zh-CN" w:eastAsia="zh-CN" w:bidi="zh-CN"/>
      </w:rPr>
    </w:lvl>
  </w:abstractNum>
  <w:abstractNum w:abstractNumId="33">
    <w:multiLevelType w:val="hybridMultilevel"/>
    <w:lvl w:ilvl="0">
      <w:start w:val="1"/>
      <w:numFmt w:val="decimal"/>
      <w:lvlText w:val="%1）"/>
      <w:lvlJc w:val="left"/>
      <w:pPr>
        <w:ind w:left="741" w:hanging="424"/>
        <w:jc w:val="left"/>
      </w:pPr>
      <w:rPr>
        <w:rFonts w:hint="default" w:ascii="仿宋" w:hAnsi="仿宋" w:eastAsia="仿宋" w:cs="仿宋"/>
        <w:spacing w:val="-20"/>
        <w:w w:val="100"/>
        <w:sz w:val="26"/>
        <w:szCs w:val="26"/>
        <w:lang w:val="zh-CN" w:eastAsia="zh-CN" w:bidi="zh-CN"/>
      </w:rPr>
    </w:lvl>
    <w:lvl w:ilvl="1">
      <w:start w:val="0"/>
      <w:numFmt w:val="bullet"/>
      <w:lvlText w:val="•"/>
      <w:lvlJc w:val="left"/>
      <w:pPr>
        <w:ind w:left="1662" w:hanging="424"/>
      </w:pPr>
      <w:rPr>
        <w:rFonts w:hint="default"/>
        <w:lang w:val="zh-CN" w:eastAsia="zh-CN" w:bidi="zh-CN"/>
      </w:rPr>
    </w:lvl>
    <w:lvl w:ilvl="2">
      <w:start w:val="0"/>
      <w:numFmt w:val="bullet"/>
      <w:lvlText w:val="•"/>
      <w:lvlJc w:val="left"/>
      <w:pPr>
        <w:ind w:left="2585" w:hanging="424"/>
      </w:pPr>
      <w:rPr>
        <w:rFonts w:hint="default"/>
        <w:lang w:val="zh-CN" w:eastAsia="zh-CN" w:bidi="zh-CN"/>
      </w:rPr>
    </w:lvl>
    <w:lvl w:ilvl="3">
      <w:start w:val="0"/>
      <w:numFmt w:val="bullet"/>
      <w:lvlText w:val="•"/>
      <w:lvlJc w:val="left"/>
      <w:pPr>
        <w:ind w:left="3507" w:hanging="424"/>
      </w:pPr>
      <w:rPr>
        <w:rFonts w:hint="default"/>
        <w:lang w:val="zh-CN" w:eastAsia="zh-CN" w:bidi="zh-CN"/>
      </w:rPr>
    </w:lvl>
    <w:lvl w:ilvl="4">
      <w:start w:val="0"/>
      <w:numFmt w:val="bullet"/>
      <w:lvlText w:val="•"/>
      <w:lvlJc w:val="left"/>
      <w:pPr>
        <w:ind w:left="4430" w:hanging="424"/>
      </w:pPr>
      <w:rPr>
        <w:rFonts w:hint="default"/>
        <w:lang w:val="zh-CN" w:eastAsia="zh-CN" w:bidi="zh-CN"/>
      </w:rPr>
    </w:lvl>
    <w:lvl w:ilvl="5">
      <w:start w:val="0"/>
      <w:numFmt w:val="bullet"/>
      <w:lvlText w:val="•"/>
      <w:lvlJc w:val="left"/>
      <w:pPr>
        <w:ind w:left="5352" w:hanging="424"/>
      </w:pPr>
      <w:rPr>
        <w:rFonts w:hint="default"/>
        <w:lang w:val="zh-CN" w:eastAsia="zh-CN" w:bidi="zh-CN"/>
      </w:rPr>
    </w:lvl>
    <w:lvl w:ilvl="6">
      <w:start w:val="0"/>
      <w:numFmt w:val="bullet"/>
      <w:lvlText w:val="•"/>
      <w:lvlJc w:val="left"/>
      <w:pPr>
        <w:ind w:left="6275" w:hanging="424"/>
      </w:pPr>
      <w:rPr>
        <w:rFonts w:hint="default"/>
        <w:lang w:val="zh-CN" w:eastAsia="zh-CN" w:bidi="zh-CN"/>
      </w:rPr>
    </w:lvl>
    <w:lvl w:ilvl="7">
      <w:start w:val="0"/>
      <w:numFmt w:val="bullet"/>
      <w:lvlText w:val="•"/>
      <w:lvlJc w:val="left"/>
      <w:pPr>
        <w:ind w:left="7197" w:hanging="424"/>
      </w:pPr>
      <w:rPr>
        <w:rFonts w:hint="default"/>
        <w:lang w:val="zh-CN" w:eastAsia="zh-CN" w:bidi="zh-CN"/>
      </w:rPr>
    </w:lvl>
    <w:lvl w:ilvl="8">
      <w:start w:val="0"/>
      <w:numFmt w:val="bullet"/>
      <w:lvlText w:val="•"/>
      <w:lvlJc w:val="left"/>
      <w:pPr>
        <w:ind w:left="8120" w:hanging="424"/>
      </w:pPr>
      <w:rPr>
        <w:rFonts w:hint="default"/>
        <w:lang w:val="zh-CN" w:eastAsia="zh-CN" w:bidi="zh-CN"/>
      </w:rPr>
    </w:lvl>
  </w:abstractNum>
  <w:abstractNum w:abstractNumId="32">
    <w:multiLevelType w:val="hybridMultilevel"/>
    <w:lvl w:ilvl="0">
      <w:start w:val="1"/>
      <w:numFmt w:val="decimal"/>
      <w:lvlText w:val="（%1）"/>
      <w:lvlJc w:val="left"/>
      <w:pPr>
        <w:ind w:left="2002" w:hanging="70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796" w:hanging="702"/>
      </w:pPr>
      <w:rPr>
        <w:rFonts w:hint="default"/>
        <w:lang w:val="zh-CN" w:eastAsia="zh-CN" w:bidi="zh-CN"/>
      </w:rPr>
    </w:lvl>
    <w:lvl w:ilvl="2">
      <w:start w:val="0"/>
      <w:numFmt w:val="bullet"/>
      <w:lvlText w:val="•"/>
      <w:lvlJc w:val="left"/>
      <w:pPr>
        <w:ind w:left="3593" w:hanging="702"/>
      </w:pPr>
      <w:rPr>
        <w:rFonts w:hint="default"/>
        <w:lang w:val="zh-CN" w:eastAsia="zh-CN" w:bidi="zh-CN"/>
      </w:rPr>
    </w:lvl>
    <w:lvl w:ilvl="3">
      <w:start w:val="0"/>
      <w:numFmt w:val="bullet"/>
      <w:lvlText w:val="•"/>
      <w:lvlJc w:val="left"/>
      <w:pPr>
        <w:ind w:left="4389" w:hanging="702"/>
      </w:pPr>
      <w:rPr>
        <w:rFonts w:hint="default"/>
        <w:lang w:val="zh-CN" w:eastAsia="zh-CN" w:bidi="zh-CN"/>
      </w:rPr>
    </w:lvl>
    <w:lvl w:ilvl="4">
      <w:start w:val="0"/>
      <w:numFmt w:val="bullet"/>
      <w:lvlText w:val="•"/>
      <w:lvlJc w:val="left"/>
      <w:pPr>
        <w:ind w:left="5186" w:hanging="702"/>
      </w:pPr>
      <w:rPr>
        <w:rFonts w:hint="default"/>
        <w:lang w:val="zh-CN" w:eastAsia="zh-CN" w:bidi="zh-CN"/>
      </w:rPr>
    </w:lvl>
    <w:lvl w:ilvl="5">
      <w:start w:val="0"/>
      <w:numFmt w:val="bullet"/>
      <w:lvlText w:val="•"/>
      <w:lvlJc w:val="left"/>
      <w:pPr>
        <w:ind w:left="5982" w:hanging="702"/>
      </w:pPr>
      <w:rPr>
        <w:rFonts w:hint="default"/>
        <w:lang w:val="zh-CN" w:eastAsia="zh-CN" w:bidi="zh-CN"/>
      </w:rPr>
    </w:lvl>
    <w:lvl w:ilvl="6">
      <w:start w:val="0"/>
      <w:numFmt w:val="bullet"/>
      <w:lvlText w:val="•"/>
      <w:lvlJc w:val="left"/>
      <w:pPr>
        <w:ind w:left="6779" w:hanging="702"/>
      </w:pPr>
      <w:rPr>
        <w:rFonts w:hint="default"/>
        <w:lang w:val="zh-CN" w:eastAsia="zh-CN" w:bidi="zh-CN"/>
      </w:rPr>
    </w:lvl>
    <w:lvl w:ilvl="7">
      <w:start w:val="0"/>
      <w:numFmt w:val="bullet"/>
      <w:lvlText w:val="•"/>
      <w:lvlJc w:val="left"/>
      <w:pPr>
        <w:ind w:left="7575" w:hanging="702"/>
      </w:pPr>
      <w:rPr>
        <w:rFonts w:hint="default"/>
        <w:lang w:val="zh-CN" w:eastAsia="zh-CN" w:bidi="zh-CN"/>
      </w:rPr>
    </w:lvl>
    <w:lvl w:ilvl="8">
      <w:start w:val="0"/>
      <w:numFmt w:val="bullet"/>
      <w:lvlText w:val="•"/>
      <w:lvlJc w:val="left"/>
      <w:pPr>
        <w:ind w:left="8372" w:hanging="702"/>
      </w:pPr>
      <w:rPr>
        <w:rFonts w:hint="default"/>
        <w:lang w:val="zh-CN" w:eastAsia="zh-CN" w:bidi="zh-CN"/>
      </w:rPr>
    </w:lvl>
  </w:abstractNum>
  <w:abstractNum w:abstractNumId="31">
    <w:multiLevelType w:val="hybridMultilevel"/>
    <w:lvl w:ilvl="0">
      <w:start w:val="1"/>
      <w:numFmt w:val="decimal"/>
      <w:lvlText w:val="（%1）"/>
      <w:lvlJc w:val="left"/>
      <w:pPr>
        <w:ind w:left="2002" w:hanging="70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796" w:hanging="702"/>
      </w:pPr>
      <w:rPr>
        <w:rFonts w:hint="default"/>
        <w:lang w:val="zh-CN" w:eastAsia="zh-CN" w:bidi="zh-CN"/>
      </w:rPr>
    </w:lvl>
    <w:lvl w:ilvl="2">
      <w:start w:val="0"/>
      <w:numFmt w:val="bullet"/>
      <w:lvlText w:val="•"/>
      <w:lvlJc w:val="left"/>
      <w:pPr>
        <w:ind w:left="3593" w:hanging="702"/>
      </w:pPr>
      <w:rPr>
        <w:rFonts w:hint="default"/>
        <w:lang w:val="zh-CN" w:eastAsia="zh-CN" w:bidi="zh-CN"/>
      </w:rPr>
    </w:lvl>
    <w:lvl w:ilvl="3">
      <w:start w:val="0"/>
      <w:numFmt w:val="bullet"/>
      <w:lvlText w:val="•"/>
      <w:lvlJc w:val="left"/>
      <w:pPr>
        <w:ind w:left="4389" w:hanging="702"/>
      </w:pPr>
      <w:rPr>
        <w:rFonts w:hint="default"/>
        <w:lang w:val="zh-CN" w:eastAsia="zh-CN" w:bidi="zh-CN"/>
      </w:rPr>
    </w:lvl>
    <w:lvl w:ilvl="4">
      <w:start w:val="0"/>
      <w:numFmt w:val="bullet"/>
      <w:lvlText w:val="•"/>
      <w:lvlJc w:val="left"/>
      <w:pPr>
        <w:ind w:left="5186" w:hanging="702"/>
      </w:pPr>
      <w:rPr>
        <w:rFonts w:hint="default"/>
        <w:lang w:val="zh-CN" w:eastAsia="zh-CN" w:bidi="zh-CN"/>
      </w:rPr>
    </w:lvl>
    <w:lvl w:ilvl="5">
      <w:start w:val="0"/>
      <w:numFmt w:val="bullet"/>
      <w:lvlText w:val="•"/>
      <w:lvlJc w:val="left"/>
      <w:pPr>
        <w:ind w:left="5982" w:hanging="702"/>
      </w:pPr>
      <w:rPr>
        <w:rFonts w:hint="default"/>
        <w:lang w:val="zh-CN" w:eastAsia="zh-CN" w:bidi="zh-CN"/>
      </w:rPr>
    </w:lvl>
    <w:lvl w:ilvl="6">
      <w:start w:val="0"/>
      <w:numFmt w:val="bullet"/>
      <w:lvlText w:val="•"/>
      <w:lvlJc w:val="left"/>
      <w:pPr>
        <w:ind w:left="6779" w:hanging="702"/>
      </w:pPr>
      <w:rPr>
        <w:rFonts w:hint="default"/>
        <w:lang w:val="zh-CN" w:eastAsia="zh-CN" w:bidi="zh-CN"/>
      </w:rPr>
    </w:lvl>
    <w:lvl w:ilvl="7">
      <w:start w:val="0"/>
      <w:numFmt w:val="bullet"/>
      <w:lvlText w:val="•"/>
      <w:lvlJc w:val="left"/>
      <w:pPr>
        <w:ind w:left="7575" w:hanging="702"/>
      </w:pPr>
      <w:rPr>
        <w:rFonts w:hint="default"/>
        <w:lang w:val="zh-CN" w:eastAsia="zh-CN" w:bidi="zh-CN"/>
      </w:rPr>
    </w:lvl>
    <w:lvl w:ilvl="8">
      <w:start w:val="0"/>
      <w:numFmt w:val="bullet"/>
      <w:lvlText w:val="•"/>
      <w:lvlJc w:val="left"/>
      <w:pPr>
        <w:ind w:left="8372" w:hanging="702"/>
      </w:pPr>
      <w:rPr>
        <w:rFonts w:hint="default"/>
        <w:lang w:val="zh-CN" w:eastAsia="zh-CN" w:bidi="zh-CN"/>
      </w:rPr>
    </w:lvl>
  </w:abstractNum>
  <w:abstractNum w:abstractNumId="30">
    <w:multiLevelType w:val="hybridMultilevel"/>
    <w:lvl w:ilvl="0">
      <w:start w:val="1"/>
      <w:numFmt w:val="decimal"/>
      <w:lvlText w:val="（%1）"/>
      <w:lvlJc w:val="left"/>
      <w:pPr>
        <w:ind w:left="2002" w:hanging="70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796" w:hanging="702"/>
      </w:pPr>
      <w:rPr>
        <w:rFonts w:hint="default"/>
        <w:lang w:val="zh-CN" w:eastAsia="zh-CN" w:bidi="zh-CN"/>
      </w:rPr>
    </w:lvl>
    <w:lvl w:ilvl="2">
      <w:start w:val="0"/>
      <w:numFmt w:val="bullet"/>
      <w:lvlText w:val="•"/>
      <w:lvlJc w:val="left"/>
      <w:pPr>
        <w:ind w:left="3593" w:hanging="702"/>
      </w:pPr>
      <w:rPr>
        <w:rFonts w:hint="default"/>
        <w:lang w:val="zh-CN" w:eastAsia="zh-CN" w:bidi="zh-CN"/>
      </w:rPr>
    </w:lvl>
    <w:lvl w:ilvl="3">
      <w:start w:val="0"/>
      <w:numFmt w:val="bullet"/>
      <w:lvlText w:val="•"/>
      <w:lvlJc w:val="left"/>
      <w:pPr>
        <w:ind w:left="4389" w:hanging="702"/>
      </w:pPr>
      <w:rPr>
        <w:rFonts w:hint="default"/>
        <w:lang w:val="zh-CN" w:eastAsia="zh-CN" w:bidi="zh-CN"/>
      </w:rPr>
    </w:lvl>
    <w:lvl w:ilvl="4">
      <w:start w:val="0"/>
      <w:numFmt w:val="bullet"/>
      <w:lvlText w:val="•"/>
      <w:lvlJc w:val="left"/>
      <w:pPr>
        <w:ind w:left="5186" w:hanging="702"/>
      </w:pPr>
      <w:rPr>
        <w:rFonts w:hint="default"/>
        <w:lang w:val="zh-CN" w:eastAsia="zh-CN" w:bidi="zh-CN"/>
      </w:rPr>
    </w:lvl>
    <w:lvl w:ilvl="5">
      <w:start w:val="0"/>
      <w:numFmt w:val="bullet"/>
      <w:lvlText w:val="•"/>
      <w:lvlJc w:val="left"/>
      <w:pPr>
        <w:ind w:left="5982" w:hanging="702"/>
      </w:pPr>
      <w:rPr>
        <w:rFonts w:hint="default"/>
        <w:lang w:val="zh-CN" w:eastAsia="zh-CN" w:bidi="zh-CN"/>
      </w:rPr>
    </w:lvl>
    <w:lvl w:ilvl="6">
      <w:start w:val="0"/>
      <w:numFmt w:val="bullet"/>
      <w:lvlText w:val="•"/>
      <w:lvlJc w:val="left"/>
      <w:pPr>
        <w:ind w:left="6779" w:hanging="702"/>
      </w:pPr>
      <w:rPr>
        <w:rFonts w:hint="default"/>
        <w:lang w:val="zh-CN" w:eastAsia="zh-CN" w:bidi="zh-CN"/>
      </w:rPr>
    </w:lvl>
    <w:lvl w:ilvl="7">
      <w:start w:val="0"/>
      <w:numFmt w:val="bullet"/>
      <w:lvlText w:val="•"/>
      <w:lvlJc w:val="left"/>
      <w:pPr>
        <w:ind w:left="7575" w:hanging="702"/>
      </w:pPr>
      <w:rPr>
        <w:rFonts w:hint="default"/>
        <w:lang w:val="zh-CN" w:eastAsia="zh-CN" w:bidi="zh-CN"/>
      </w:rPr>
    </w:lvl>
    <w:lvl w:ilvl="8">
      <w:start w:val="0"/>
      <w:numFmt w:val="bullet"/>
      <w:lvlText w:val="•"/>
      <w:lvlJc w:val="left"/>
      <w:pPr>
        <w:ind w:left="8372" w:hanging="702"/>
      </w:pPr>
      <w:rPr>
        <w:rFonts w:hint="default"/>
        <w:lang w:val="zh-CN" w:eastAsia="zh-CN" w:bidi="zh-CN"/>
      </w:rPr>
    </w:lvl>
  </w:abstractNum>
  <w:abstractNum w:abstractNumId="29">
    <w:multiLevelType w:val="hybridMultilevel"/>
    <w:lvl w:ilvl="0">
      <w:start w:val="1"/>
      <w:numFmt w:val="decimal"/>
      <w:lvlText w:val="（%1）"/>
      <w:lvlJc w:val="left"/>
      <w:pPr>
        <w:ind w:left="741" w:hanging="702"/>
        <w:jc w:val="left"/>
      </w:pPr>
      <w:rPr>
        <w:rFonts w:hint="default" w:ascii="仿宋" w:hAnsi="仿宋" w:eastAsia="仿宋" w:cs="仿宋"/>
        <w:spacing w:val="-13"/>
        <w:w w:val="100"/>
        <w:sz w:val="26"/>
        <w:szCs w:val="26"/>
        <w:lang w:val="zh-CN" w:eastAsia="zh-CN" w:bidi="zh-CN"/>
      </w:rPr>
    </w:lvl>
    <w:lvl w:ilvl="1">
      <w:start w:val="0"/>
      <w:numFmt w:val="bullet"/>
      <w:lvlText w:val="•"/>
      <w:lvlJc w:val="left"/>
      <w:pPr>
        <w:ind w:left="1662" w:hanging="702"/>
      </w:pPr>
      <w:rPr>
        <w:rFonts w:hint="default"/>
        <w:lang w:val="zh-CN" w:eastAsia="zh-CN" w:bidi="zh-CN"/>
      </w:rPr>
    </w:lvl>
    <w:lvl w:ilvl="2">
      <w:start w:val="0"/>
      <w:numFmt w:val="bullet"/>
      <w:lvlText w:val="•"/>
      <w:lvlJc w:val="left"/>
      <w:pPr>
        <w:ind w:left="2585" w:hanging="702"/>
      </w:pPr>
      <w:rPr>
        <w:rFonts w:hint="default"/>
        <w:lang w:val="zh-CN" w:eastAsia="zh-CN" w:bidi="zh-CN"/>
      </w:rPr>
    </w:lvl>
    <w:lvl w:ilvl="3">
      <w:start w:val="0"/>
      <w:numFmt w:val="bullet"/>
      <w:lvlText w:val="•"/>
      <w:lvlJc w:val="left"/>
      <w:pPr>
        <w:ind w:left="3507" w:hanging="702"/>
      </w:pPr>
      <w:rPr>
        <w:rFonts w:hint="default"/>
        <w:lang w:val="zh-CN" w:eastAsia="zh-CN" w:bidi="zh-CN"/>
      </w:rPr>
    </w:lvl>
    <w:lvl w:ilvl="4">
      <w:start w:val="0"/>
      <w:numFmt w:val="bullet"/>
      <w:lvlText w:val="•"/>
      <w:lvlJc w:val="left"/>
      <w:pPr>
        <w:ind w:left="4430" w:hanging="702"/>
      </w:pPr>
      <w:rPr>
        <w:rFonts w:hint="default"/>
        <w:lang w:val="zh-CN" w:eastAsia="zh-CN" w:bidi="zh-CN"/>
      </w:rPr>
    </w:lvl>
    <w:lvl w:ilvl="5">
      <w:start w:val="0"/>
      <w:numFmt w:val="bullet"/>
      <w:lvlText w:val="•"/>
      <w:lvlJc w:val="left"/>
      <w:pPr>
        <w:ind w:left="5352" w:hanging="702"/>
      </w:pPr>
      <w:rPr>
        <w:rFonts w:hint="default"/>
        <w:lang w:val="zh-CN" w:eastAsia="zh-CN" w:bidi="zh-CN"/>
      </w:rPr>
    </w:lvl>
    <w:lvl w:ilvl="6">
      <w:start w:val="0"/>
      <w:numFmt w:val="bullet"/>
      <w:lvlText w:val="•"/>
      <w:lvlJc w:val="left"/>
      <w:pPr>
        <w:ind w:left="6275" w:hanging="702"/>
      </w:pPr>
      <w:rPr>
        <w:rFonts w:hint="default"/>
        <w:lang w:val="zh-CN" w:eastAsia="zh-CN" w:bidi="zh-CN"/>
      </w:rPr>
    </w:lvl>
    <w:lvl w:ilvl="7">
      <w:start w:val="0"/>
      <w:numFmt w:val="bullet"/>
      <w:lvlText w:val="•"/>
      <w:lvlJc w:val="left"/>
      <w:pPr>
        <w:ind w:left="7197" w:hanging="702"/>
      </w:pPr>
      <w:rPr>
        <w:rFonts w:hint="default"/>
        <w:lang w:val="zh-CN" w:eastAsia="zh-CN" w:bidi="zh-CN"/>
      </w:rPr>
    </w:lvl>
    <w:lvl w:ilvl="8">
      <w:start w:val="0"/>
      <w:numFmt w:val="bullet"/>
      <w:lvlText w:val="•"/>
      <w:lvlJc w:val="left"/>
      <w:pPr>
        <w:ind w:left="8120" w:hanging="702"/>
      </w:pPr>
      <w:rPr>
        <w:rFonts w:hint="default"/>
        <w:lang w:val="zh-CN" w:eastAsia="zh-CN" w:bidi="zh-CN"/>
      </w:rPr>
    </w:lvl>
  </w:abstractNum>
  <w:abstractNum w:abstractNumId="28">
    <w:multiLevelType w:val="hybridMultilevel"/>
    <w:lvl w:ilvl="0">
      <w:start w:val="1"/>
      <w:numFmt w:val="decimal"/>
      <w:lvlText w:val="（%1）"/>
      <w:lvlJc w:val="left"/>
      <w:pPr>
        <w:ind w:left="2002" w:hanging="70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796" w:hanging="702"/>
      </w:pPr>
      <w:rPr>
        <w:rFonts w:hint="default"/>
        <w:lang w:val="zh-CN" w:eastAsia="zh-CN" w:bidi="zh-CN"/>
      </w:rPr>
    </w:lvl>
    <w:lvl w:ilvl="2">
      <w:start w:val="0"/>
      <w:numFmt w:val="bullet"/>
      <w:lvlText w:val="•"/>
      <w:lvlJc w:val="left"/>
      <w:pPr>
        <w:ind w:left="3593" w:hanging="702"/>
      </w:pPr>
      <w:rPr>
        <w:rFonts w:hint="default"/>
        <w:lang w:val="zh-CN" w:eastAsia="zh-CN" w:bidi="zh-CN"/>
      </w:rPr>
    </w:lvl>
    <w:lvl w:ilvl="3">
      <w:start w:val="0"/>
      <w:numFmt w:val="bullet"/>
      <w:lvlText w:val="•"/>
      <w:lvlJc w:val="left"/>
      <w:pPr>
        <w:ind w:left="4389" w:hanging="702"/>
      </w:pPr>
      <w:rPr>
        <w:rFonts w:hint="default"/>
        <w:lang w:val="zh-CN" w:eastAsia="zh-CN" w:bidi="zh-CN"/>
      </w:rPr>
    </w:lvl>
    <w:lvl w:ilvl="4">
      <w:start w:val="0"/>
      <w:numFmt w:val="bullet"/>
      <w:lvlText w:val="•"/>
      <w:lvlJc w:val="left"/>
      <w:pPr>
        <w:ind w:left="5186" w:hanging="702"/>
      </w:pPr>
      <w:rPr>
        <w:rFonts w:hint="default"/>
        <w:lang w:val="zh-CN" w:eastAsia="zh-CN" w:bidi="zh-CN"/>
      </w:rPr>
    </w:lvl>
    <w:lvl w:ilvl="5">
      <w:start w:val="0"/>
      <w:numFmt w:val="bullet"/>
      <w:lvlText w:val="•"/>
      <w:lvlJc w:val="left"/>
      <w:pPr>
        <w:ind w:left="5982" w:hanging="702"/>
      </w:pPr>
      <w:rPr>
        <w:rFonts w:hint="default"/>
        <w:lang w:val="zh-CN" w:eastAsia="zh-CN" w:bidi="zh-CN"/>
      </w:rPr>
    </w:lvl>
    <w:lvl w:ilvl="6">
      <w:start w:val="0"/>
      <w:numFmt w:val="bullet"/>
      <w:lvlText w:val="•"/>
      <w:lvlJc w:val="left"/>
      <w:pPr>
        <w:ind w:left="6779" w:hanging="702"/>
      </w:pPr>
      <w:rPr>
        <w:rFonts w:hint="default"/>
        <w:lang w:val="zh-CN" w:eastAsia="zh-CN" w:bidi="zh-CN"/>
      </w:rPr>
    </w:lvl>
    <w:lvl w:ilvl="7">
      <w:start w:val="0"/>
      <w:numFmt w:val="bullet"/>
      <w:lvlText w:val="•"/>
      <w:lvlJc w:val="left"/>
      <w:pPr>
        <w:ind w:left="7575" w:hanging="702"/>
      </w:pPr>
      <w:rPr>
        <w:rFonts w:hint="default"/>
        <w:lang w:val="zh-CN" w:eastAsia="zh-CN" w:bidi="zh-CN"/>
      </w:rPr>
    </w:lvl>
    <w:lvl w:ilvl="8">
      <w:start w:val="0"/>
      <w:numFmt w:val="bullet"/>
      <w:lvlText w:val="•"/>
      <w:lvlJc w:val="left"/>
      <w:pPr>
        <w:ind w:left="8372" w:hanging="702"/>
      </w:pPr>
      <w:rPr>
        <w:rFonts w:hint="default"/>
        <w:lang w:val="zh-CN" w:eastAsia="zh-CN" w:bidi="zh-CN"/>
      </w:rPr>
    </w:lvl>
  </w:abstractNum>
  <w:abstractNum w:abstractNumId="27">
    <w:multiLevelType w:val="hybridMultilevel"/>
    <w:lvl w:ilvl="0">
      <w:start w:val="2"/>
      <w:numFmt w:val="decimal"/>
      <w:lvlText w:val="%1）"/>
      <w:lvlJc w:val="left"/>
      <w:pPr>
        <w:ind w:left="741" w:hanging="454"/>
        <w:jc w:val="right"/>
      </w:pPr>
      <w:rPr>
        <w:rFonts w:hint="default" w:ascii="仿宋" w:hAnsi="仿宋" w:eastAsia="仿宋" w:cs="仿宋"/>
        <w:spacing w:val="10"/>
        <w:w w:val="100"/>
        <w:sz w:val="28"/>
        <w:szCs w:val="28"/>
        <w:lang w:val="zh-CN" w:eastAsia="zh-CN" w:bidi="zh-CN"/>
      </w:rPr>
    </w:lvl>
    <w:lvl w:ilvl="1">
      <w:start w:val="0"/>
      <w:numFmt w:val="bullet"/>
      <w:lvlText w:val="•"/>
      <w:lvlJc w:val="left"/>
      <w:pPr>
        <w:ind w:left="1662" w:hanging="454"/>
      </w:pPr>
      <w:rPr>
        <w:rFonts w:hint="default"/>
        <w:lang w:val="zh-CN" w:eastAsia="zh-CN" w:bidi="zh-CN"/>
      </w:rPr>
    </w:lvl>
    <w:lvl w:ilvl="2">
      <w:start w:val="0"/>
      <w:numFmt w:val="bullet"/>
      <w:lvlText w:val="•"/>
      <w:lvlJc w:val="left"/>
      <w:pPr>
        <w:ind w:left="2585" w:hanging="454"/>
      </w:pPr>
      <w:rPr>
        <w:rFonts w:hint="default"/>
        <w:lang w:val="zh-CN" w:eastAsia="zh-CN" w:bidi="zh-CN"/>
      </w:rPr>
    </w:lvl>
    <w:lvl w:ilvl="3">
      <w:start w:val="0"/>
      <w:numFmt w:val="bullet"/>
      <w:lvlText w:val="•"/>
      <w:lvlJc w:val="left"/>
      <w:pPr>
        <w:ind w:left="3507" w:hanging="454"/>
      </w:pPr>
      <w:rPr>
        <w:rFonts w:hint="default"/>
        <w:lang w:val="zh-CN" w:eastAsia="zh-CN" w:bidi="zh-CN"/>
      </w:rPr>
    </w:lvl>
    <w:lvl w:ilvl="4">
      <w:start w:val="0"/>
      <w:numFmt w:val="bullet"/>
      <w:lvlText w:val="•"/>
      <w:lvlJc w:val="left"/>
      <w:pPr>
        <w:ind w:left="4430" w:hanging="454"/>
      </w:pPr>
      <w:rPr>
        <w:rFonts w:hint="default"/>
        <w:lang w:val="zh-CN" w:eastAsia="zh-CN" w:bidi="zh-CN"/>
      </w:rPr>
    </w:lvl>
    <w:lvl w:ilvl="5">
      <w:start w:val="0"/>
      <w:numFmt w:val="bullet"/>
      <w:lvlText w:val="•"/>
      <w:lvlJc w:val="left"/>
      <w:pPr>
        <w:ind w:left="5352" w:hanging="454"/>
      </w:pPr>
      <w:rPr>
        <w:rFonts w:hint="default"/>
        <w:lang w:val="zh-CN" w:eastAsia="zh-CN" w:bidi="zh-CN"/>
      </w:rPr>
    </w:lvl>
    <w:lvl w:ilvl="6">
      <w:start w:val="0"/>
      <w:numFmt w:val="bullet"/>
      <w:lvlText w:val="•"/>
      <w:lvlJc w:val="left"/>
      <w:pPr>
        <w:ind w:left="6275" w:hanging="454"/>
      </w:pPr>
      <w:rPr>
        <w:rFonts w:hint="default"/>
        <w:lang w:val="zh-CN" w:eastAsia="zh-CN" w:bidi="zh-CN"/>
      </w:rPr>
    </w:lvl>
    <w:lvl w:ilvl="7">
      <w:start w:val="0"/>
      <w:numFmt w:val="bullet"/>
      <w:lvlText w:val="•"/>
      <w:lvlJc w:val="left"/>
      <w:pPr>
        <w:ind w:left="7197" w:hanging="454"/>
      </w:pPr>
      <w:rPr>
        <w:rFonts w:hint="default"/>
        <w:lang w:val="zh-CN" w:eastAsia="zh-CN" w:bidi="zh-CN"/>
      </w:rPr>
    </w:lvl>
    <w:lvl w:ilvl="8">
      <w:start w:val="0"/>
      <w:numFmt w:val="bullet"/>
      <w:lvlText w:val="•"/>
      <w:lvlJc w:val="left"/>
      <w:pPr>
        <w:ind w:left="8120" w:hanging="454"/>
      </w:pPr>
      <w:rPr>
        <w:rFonts w:hint="default"/>
        <w:lang w:val="zh-CN" w:eastAsia="zh-CN" w:bidi="zh-CN"/>
      </w:rPr>
    </w:lvl>
  </w:abstractNum>
  <w:abstractNum w:abstractNumId="26">
    <w:multiLevelType w:val="hybridMultilevel"/>
    <w:lvl w:ilvl="0">
      <w:start w:val="1"/>
      <w:numFmt w:val="decimal"/>
      <w:lvlText w:val="%1）"/>
      <w:lvlJc w:val="left"/>
      <w:pPr>
        <w:ind w:left="1721" w:hanging="42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544" w:hanging="422"/>
      </w:pPr>
      <w:rPr>
        <w:rFonts w:hint="default"/>
        <w:lang w:val="zh-CN" w:eastAsia="zh-CN" w:bidi="zh-CN"/>
      </w:rPr>
    </w:lvl>
    <w:lvl w:ilvl="2">
      <w:start w:val="0"/>
      <w:numFmt w:val="bullet"/>
      <w:lvlText w:val="•"/>
      <w:lvlJc w:val="left"/>
      <w:pPr>
        <w:ind w:left="3369" w:hanging="422"/>
      </w:pPr>
      <w:rPr>
        <w:rFonts w:hint="default"/>
        <w:lang w:val="zh-CN" w:eastAsia="zh-CN" w:bidi="zh-CN"/>
      </w:rPr>
    </w:lvl>
    <w:lvl w:ilvl="3">
      <w:start w:val="0"/>
      <w:numFmt w:val="bullet"/>
      <w:lvlText w:val="•"/>
      <w:lvlJc w:val="left"/>
      <w:pPr>
        <w:ind w:left="4193" w:hanging="422"/>
      </w:pPr>
      <w:rPr>
        <w:rFonts w:hint="default"/>
        <w:lang w:val="zh-CN" w:eastAsia="zh-CN" w:bidi="zh-CN"/>
      </w:rPr>
    </w:lvl>
    <w:lvl w:ilvl="4">
      <w:start w:val="0"/>
      <w:numFmt w:val="bullet"/>
      <w:lvlText w:val="•"/>
      <w:lvlJc w:val="left"/>
      <w:pPr>
        <w:ind w:left="5018" w:hanging="422"/>
      </w:pPr>
      <w:rPr>
        <w:rFonts w:hint="default"/>
        <w:lang w:val="zh-CN" w:eastAsia="zh-CN" w:bidi="zh-CN"/>
      </w:rPr>
    </w:lvl>
    <w:lvl w:ilvl="5">
      <w:start w:val="0"/>
      <w:numFmt w:val="bullet"/>
      <w:lvlText w:val="•"/>
      <w:lvlJc w:val="left"/>
      <w:pPr>
        <w:ind w:left="5842" w:hanging="422"/>
      </w:pPr>
      <w:rPr>
        <w:rFonts w:hint="default"/>
        <w:lang w:val="zh-CN" w:eastAsia="zh-CN" w:bidi="zh-CN"/>
      </w:rPr>
    </w:lvl>
    <w:lvl w:ilvl="6">
      <w:start w:val="0"/>
      <w:numFmt w:val="bullet"/>
      <w:lvlText w:val="•"/>
      <w:lvlJc w:val="left"/>
      <w:pPr>
        <w:ind w:left="6667" w:hanging="422"/>
      </w:pPr>
      <w:rPr>
        <w:rFonts w:hint="default"/>
        <w:lang w:val="zh-CN" w:eastAsia="zh-CN" w:bidi="zh-CN"/>
      </w:rPr>
    </w:lvl>
    <w:lvl w:ilvl="7">
      <w:start w:val="0"/>
      <w:numFmt w:val="bullet"/>
      <w:lvlText w:val="•"/>
      <w:lvlJc w:val="left"/>
      <w:pPr>
        <w:ind w:left="7491" w:hanging="422"/>
      </w:pPr>
      <w:rPr>
        <w:rFonts w:hint="default"/>
        <w:lang w:val="zh-CN" w:eastAsia="zh-CN" w:bidi="zh-CN"/>
      </w:rPr>
    </w:lvl>
    <w:lvl w:ilvl="8">
      <w:start w:val="0"/>
      <w:numFmt w:val="bullet"/>
      <w:lvlText w:val="•"/>
      <w:lvlJc w:val="left"/>
      <w:pPr>
        <w:ind w:left="8316" w:hanging="422"/>
      </w:pPr>
      <w:rPr>
        <w:rFonts w:hint="default"/>
        <w:lang w:val="zh-CN" w:eastAsia="zh-CN" w:bidi="zh-CN"/>
      </w:rPr>
    </w:lvl>
  </w:abstractNum>
  <w:abstractNum w:abstractNumId="25">
    <w:multiLevelType w:val="hybridMultilevel"/>
    <w:lvl w:ilvl="0">
      <w:start w:val="1"/>
      <w:numFmt w:val="decimal"/>
      <w:lvlText w:val="%1）"/>
      <w:lvlJc w:val="left"/>
      <w:pPr>
        <w:ind w:left="741" w:hanging="422"/>
        <w:jc w:val="left"/>
      </w:pPr>
      <w:rPr>
        <w:rFonts w:hint="default" w:ascii="仿宋" w:hAnsi="仿宋" w:eastAsia="仿宋" w:cs="仿宋"/>
        <w:spacing w:val="-13"/>
        <w:w w:val="100"/>
        <w:sz w:val="26"/>
        <w:szCs w:val="26"/>
        <w:lang w:val="zh-CN" w:eastAsia="zh-CN" w:bidi="zh-CN"/>
      </w:rPr>
    </w:lvl>
    <w:lvl w:ilvl="1">
      <w:start w:val="0"/>
      <w:numFmt w:val="bullet"/>
      <w:lvlText w:val="•"/>
      <w:lvlJc w:val="left"/>
      <w:pPr>
        <w:ind w:left="1662" w:hanging="422"/>
      </w:pPr>
      <w:rPr>
        <w:rFonts w:hint="default"/>
        <w:lang w:val="zh-CN" w:eastAsia="zh-CN" w:bidi="zh-CN"/>
      </w:rPr>
    </w:lvl>
    <w:lvl w:ilvl="2">
      <w:start w:val="0"/>
      <w:numFmt w:val="bullet"/>
      <w:lvlText w:val="•"/>
      <w:lvlJc w:val="left"/>
      <w:pPr>
        <w:ind w:left="2585" w:hanging="422"/>
      </w:pPr>
      <w:rPr>
        <w:rFonts w:hint="default"/>
        <w:lang w:val="zh-CN" w:eastAsia="zh-CN" w:bidi="zh-CN"/>
      </w:rPr>
    </w:lvl>
    <w:lvl w:ilvl="3">
      <w:start w:val="0"/>
      <w:numFmt w:val="bullet"/>
      <w:lvlText w:val="•"/>
      <w:lvlJc w:val="left"/>
      <w:pPr>
        <w:ind w:left="3507" w:hanging="422"/>
      </w:pPr>
      <w:rPr>
        <w:rFonts w:hint="default"/>
        <w:lang w:val="zh-CN" w:eastAsia="zh-CN" w:bidi="zh-CN"/>
      </w:rPr>
    </w:lvl>
    <w:lvl w:ilvl="4">
      <w:start w:val="0"/>
      <w:numFmt w:val="bullet"/>
      <w:lvlText w:val="•"/>
      <w:lvlJc w:val="left"/>
      <w:pPr>
        <w:ind w:left="4430" w:hanging="422"/>
      </w:pPr>
      <w:rPr>
        <w:rFonts w:hint="default"/>
        <w:lang w:val="zh-CN" w:eastAsia="zh-CN" w:bidi="zh-CN"/>
      </w:rPr>
    </w:lvl>
    <w:lvl w:ilvl="5">
      <w:start w:val="0"/>
      <w:numFmt w:val="bullet"/>
      <w:lvlText w:val="•"/>
      <w:lvlJc w:val="left"/>
      <w:pPr>
        <w:ind w:left="5352" w:hanging="422"/>
      </w:pPr>
      <w:rPr>
        <w:rFonts w:hint="default"/>
        <w:lang w:val="zh-CN" w:eastAsia="zh-CN" w:bidi="zh-CN"/>
      </w:rPr>
    </w:lvl>
    <w:lvl w:ilvl="6">
      <w:start w:val="0"/>
      <w:numFmt w:val="bullet"/>
      <w:lvlText w:val="•"/>
      <w:lvlJc w:val="left"/>
      <w:pPr>
        <w:ind w:left="6275" w:hanging="422"/>
      </w:pPr>
      <w:rPr>
        <w:rFonts w:hint="default"/>
        <w:lang w:val="zh-CN" w:eastAsia="zh-CN" w:bidi="zh-CN"/>
      </w:rPr>
    </w:lvl>
    <w:lvl w:ilvl="7">
      <w:start w:val="0"/>
      <w:numFmt w:val="bullet"/>
      <w:lvlText w:val="•"/>
      <w:lvlJc w:val="left"/>
      <w:pPr>
        <w:ind w:left="7197" w:hanging="422"/>
      </w:pPr>
      <w:rPr>
        <w:rFonts w:hint="default"/>
        <w:lang w:val="zh-CN" w:eastAsia="zh-CN" w:bidi="zh-CN"/>
      </w:rPr>
    </w:lvl>
    <w:lvl w:ilvl="8">
      <w:start w:val="0"/>
      <w:numFmt w:val="bullet"/>
      <w:lvlText w:val="•"/>
      <w:lvlJc w:val="left"/>
      <w:pPr>
        <w:ind w:left="8120" w:hanging="422"/>
      </w:pPr>
      <w:rPr>
        <w:rFonts w:hint="default"/>
        <w:lang w:val="zh-CN" w:eastAsia="zh-CN" w:bidi="zh-CN"/>
      </w:rPr>
    </w:lvl>
  </w:abstractNum>
  <w:abstractNum w:abstractNumId="24">
    <w:multiLevelType w:val="hybridMultilevel"/>
    <w:lvl w:ilvl="0">
      <w:start w:val="1"/>
      <w:numFmt w:val="decimal"/>
      <w:lvlText w:val="%1）"/>
      <w:lvlJc w:val="left"/>
      <w:pPr>
        <w:ind w:left="1721" w:hanging="42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544" w:hanging="422"/>
      </w:pPr>
      <w:rPr>
        <w:rFonts w:hint="default"/>
        <w:lang w:val="zh-CN" w:eastAsia="zh-CN" w:bidi="zh-CN"/>
      </w:rPr>
    </w:lvl>
    <w:lvl w:ilvl="2">
      <w:start w:val="0"/>
      <w:numFmt w:val="bullet"/>
      <w:lvlText w:val="•"/>
      <w:lvlJc w:val="left"/>
      <w:pPr>
        <w:ind w:left="3369" w:hanging="422"/>
      </w:pPr>
      <w:rPr>
        <w:rFonts w:hint="default"/>
        <w:lang w:val="zh-CN" w:eastAsia="zh-CN" w:bidi="zh-CN"/>
      </w:rPr>
    </w:lvl>
    <w:lvl w:ilvl="3">
      <w:start w:val="0"/>
      <w:numFmt w:val="bullet"/>
      <w:lvlText w:val="•"/>
      <w:lvlJc w:val="left"/>
      <w:pPr>
        <w:ind w:left="4193" w:hanging="422"/>
      </w:pPr>
      <w:rPr>
        <w:rFonts w:hint="default"/>
        <w:lang w:val="zh-CN" w:eastAsia="zh-CN" w:bidi="zh-CN"/>
      </w:rPr>
    </w:lvl>
    <w:lvl w:ilvl="4">
      <w:start w:val="0"/>
      <w:numFmt w:val="bullet"/>
      <w:lvlText w:val="•"/>
      <w:lvlJc w:val="left"/>
      <w:pPr>
        <w:ind w:left="5018" w:hanging="422"/>
      </w:pPr>
      <w:rPr>
        <w:rFonts w:hint="default"/>
        <w:lang w:val="zh-CN" w:eastAsia="zh-CN" w:bidi="zh-CN"/>
      </w:rPr>
    </w:lvl>
    <w:lvl w:ilvl="5">
      <w:start w:val="0"/>
      <w:numFmt w:val="bullet"/>
      <w:lvlText w:val="•"/>
      <w:lvlJc w:val="left"/>
      <w:pPr>
        <w:ind w:left="5842" w:hanging="422"/>
      </w:pPr>
      <w:rPr>
        <w:rFonts w:hint="default"/>
        <w:lang w:val="zh-CN" w:eastAsia="zh-CN" w:bidi="zh-CN"/>
      </w:rPr>
    </w:lvl>
    <w:lvl w:ilvl="6">
      <w:start w:val="0"/>
      <w:numFmt w:val="bullet"/>
      <w:lvlText w:val="•"/>
      <w:lvlJc w:val="left"/>
      <w:pPr>
        <w:ind w:left="6667" w:hanging="422"/>
      </w:pPr>
      <w:rPr>
        <w:rFonts w:hint="default"/>
        <w:lang w:val="zh-CN" w:eastAsia="zh-CN" w:bidi="zh-CN"/>
      </w:rPr>
    </w:lvl>
    <w:lvl w:ilvl="7">
      <w:start w:val="0"/>
      <w:numFmt w:val="bullet"/>
      <w:lvlText w:val="•"/>
      <w:lvlJc w:val="left"/>
      <w:pPr>
        <w:ind w:left="7491" w:hanging="422"/>
      </w:pPr>
      <w:rPr>
        <w:rFonts w:hint="default"/>
        <w:lang w:val="zh-CN" w:eastAsia="zh-CN" w:bidi="zh-CN"/>
      </w:rPr>
    </w:lvl>
    <w:lvl w:ilvl="8">
      <w:start w:val="0"/>
      <w:numFmt w:val="bullet"/>
      <w:lvlText w:val="•"/>
      <w:lvlJc w:val="left"/>
      <w:pPr>
        <w:ind w:left="8316" w:hanging="422"/>
      </w:pPr>
      <w:rPr>
        <w:rFonts w:hint="default"/>
        <w:lang w:val="zh-CN" w:eastAsia="zh-CN" w:bidi="zh-CN"/>
      </w:rPr>
    </w:lvl>
  </w:abstractNum>
  <w:abstractNum w:abstractNumId="23">
    <w:multiLevelType w:val="hybridMultilevel"/>
    <w:lvl w:ilvl="0">
      <w:start w:val="1"/>
      <w:numFmt w:val="decimal"/>
      <w:lvlText w:val="%1）"/>
      <w:lvlJc w:val="left"/>
      <w:pPr>
        <w:ind w:left="1721" w:hanging="42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2544" w:hanging="422"/>
      </w:pPr>
      <w:rPr>
        <w:rFonts w:hint="default"/>
        <w:lang w:val="zh-CN" w:eastAsia="zh-CN" w:bidi="zh-CN"/>
      </w:rPr>
    </w:lvl>
    <w:lvl w:ilvl="2">
      <w:start w:val="0"/>
      <w:numFmt w:val="bullet"/>
      <w:lvlText w:val="•"/>
      <w:lvlJc w:val="left"/>
      <w:pPr>
        <w:ind w:left="3369" w:hanging="422"/>
      </w:pPr>
      <w:rPr>
        <w:rFonts w:hint="default"/>
        <w:lang w:val="zh-CN" w:eastAsia="zh-CN" w:bidi="zh-CN"/>
      </w:rPr>
    </w:lvl>
    <w:lvl w:ilvl="3">
      <w:start w:val="0"/>
      <w:numFmt w:val="bullet"/>
      <w:lvlText w:val="•"/>
      <w:lvlJc w:val="left"/>
      <w:pPr>
        <w:ind w:left="4193" w:hanging="422"/>
      </w:pPr>
      <w:rPr>
        <w:rFonts w:hint="default"/>
        <w:lang w:val="zh-CN" w:eastAsia="zh-CN" w:bidi="zh-CN"/>
      </w:rPr>
    </w:lvl>
    <w:lvl w:ilvl="4">
      <w:start w:val="0"/>
      <w:numFmt w:val="bullet"/>
      <w:lvlText w:val="•"/>
      <w:lvlJc w:val="left"/>
      <w:pPr>
        <w:ind w:left="5018" w:hanging="422"/>
      </w:pPr>
      <w:rPr>
        <w:rFonts w:hint="default"/>
        <w:lang w:val="zh-CN" w:eastAsia="zh-CN" w:bidi="zh-CN"/>
      </w:rPr>
    </w:lvl>
    <w:lvl w:ilvl="5">
      <w:start w:val="0"/>
      <w:numFmt w:val="bullet"/>
      <w:lvlText w:val="•"/>
      <w:lvlJc w:val="left"/>
      <w:pPr>
        <w:ind w:left="5842" w:hanging="422"/>
      </w:pPr>
      <w:rPr>
        <w:rFonts w:hint="default"/>
        <w:lang w:val="zh-CN" w:eastAsia="zh-CN" w:bidi="zh-CN"/>
      </w:rPr>
    </w:lvl>
    <w:lvl w:ilvl="6">
      <w:start w:val="0"/>
      <w:numFmt w:val="bullet"/>
      <w:lvlText w:val="•"/>
      <w:lvlJc w:val="left"/>
      <w:pPr>
        <w:ind w:left="6667" w:hanging="422"/>
      </w:pPr>
      <w:rPr>
        <w:rFonts w:hint="default"/>
        <w:lang w:val="zh-CN" w:eastAsia="zh-CN" w:bidi="zh-CN"/>
      </w:rPr>
    </w:lvl>
    <w:lvl w:ilvl="7">
      <w:start w:val="0"/>
      <w:numFmt w:val="bullet"/>
      <w:lvlText w:val="•"/>
      <w:lvlJc w:val="left"/>
      <w:pPr>
        <w:ind w:left="7491" w:hanging="422"/>
      </w:pPr>
      <w:rPr>
        <w:rFonts w:hint="default"/>
        <w:lang w:val="zh-CN" w:eastAsia="zh-CN" w:bidi="zh-CN"/>
      </w:rPr>
    </w:lvl>
    <w:lvl w:ilvl="8">
      <w:start w:val="0"/>
      <w:numFmt w:val="bullet"/>
      <w:lvlText w:val="•"/>
      <w:lvlJc w:val="left"/>
      <w:pPr>
        <w:ind w:left="8316" w:hanging="422"/>
      </w:pPr>
      <w:rPr>
        <w:rFonts w:hint="default"/>
        <w:lang w:val="zh-CN" w:eastAsia="zh-CN" w:bidi="zh-CN"/>
      </w:rPr>
    </w:lvl>
  </w:abstractNum>
  <w:abstractNum w:abstractNumId="22">
    <w:multiLevelType w:val="hybridMultilevel"/>
    <w:lvl w:ilvl="0">
      <w:start w:val="1"/>
      <w:numFmt w:val="decimal"/>
      <w:lvlText w:val="%1）"/>
      <w:lvlJc w:val="left"/>
      <w:pPr>
        <w:ind w:left="741" w:hanging="422"/>
        <w:jc w:val="left"/>
      </w:pPr>
      <w:rPr>
        <w:rFonts w:hint="default" w:ascii="仿宋" w:hAnsi="仿宋" w:eastAsia="仿宋" w:cs="仿宋"/>
        <w:spacing w:val="-13"/>
        <w:w w:val="100"/>
        <w:sz w:val="26"/>
        <w:szCs w:val="26"/>
        <w:lang w:val="zh-CN" w:eastAsia="zh-CN" w:bidi="zh-CN"/>
      </w:rPr>
    </w:lvl>
    <w:lvl w:ilvl="1">
      <w:start w:val="0"/>
      <w:numFmt w:val="bullet"/>
      <w:lvlText w:val="•"/>
      <w:lvlJc w:val="left"/>
      <w:pPr>
        <w:ind w:left="1662" w:hanging="422"/>
      </w:pPr>
      <w:rPr>
        <w:rFonts w:hint="default"/>
        <w:lang w:val="zh-CN" w:eastAsia="zh-CN" w:bidi="zh-CN"/>
      </w:rPr>
    </w:lvl>
    <w:lvl w:ilvl="2">
      <w:start w:val="0"/>
      <w:numFmt w:val="bullet"/>
      <w:lvlText w:val="•"/>
      <w:lvlJc w:val="left"/>
      <w:pPr>
        <w:ind w:left="2585" w:hanging="422"/>
      </w:pPr>
      <w:rPr>
        <w:rFonts w:hint="default"/>
        <w:lang w:val="zh-CN" w:eastAsia="zh-CN" w:bidi="zh-CN"/>
      </w:rPr>
    </w:lvl>
    <w:lvl w:ilvl="3">
      <w:start w:val="0"/>
      <w:numFmt w:val="bullet"/>
      <w:lvlText w:val="•"/>
      <w:lvlJc w:val="left"/>
      <w:pPr>
        <w:ind w:left="3507" w:hanging="422"/>
      </w:pPr>
      <w:rPr>
        <w:rFonts w:hint="default"/>
        <w:lang w:val="zh-CN" w:eastAsia="zh-CN" w:bidi="zh-CN"/>
      </w:rPr>
    </w:lvl>
    <w:lvl w:ilvl="4">
      <w:start w:val="0"/>
      <w:numFmt w:val="bullet"/>
      <w:lvlText w:val="•"/>
      <w:lvlJc w:val="left"/>
      <w:pPr>
        <w:ind w:left="4430" w:hanging="422"/>
      </w:pPr>
      <w:rPr>
        <w:rFonts w:hint="default"/>
        <w:lang w:val="zh-CN" w:eastAsia="zh-CN" w:bidi="zh-CN"/>
      </w:rPr>
    </w:lvl>
    <w:lvl w:ilvl="5">
      <w:start w:val="0"/>
      <w:numFmt w:val="bullet"/>
      <w:lvlText w:val="•"/>
      <w:lvlJc w:val="left"/>
      <w:pPr>
        <w:ind w:left="5352" w:hanging="422"/>
      </w:pPr>
      <w:rPr>
        <w:rFonts w:hint="default"/>
        <w:lang w:val="zh-CN" w:eastAsia="zh-CN" w:bidi="zh-CN"/>
      </w:rPr>
    </w:lvl>
    <w:lvl w:ilvl="6">
      <w:start w:val="0"/>
      <w:numFmt w:val="bullet"/>
      <w:lvlText w:val="•"/>
      <w:lvlJc w:val="left"/>
      <w:pPr>
        <w:ind w:left="6275" w:hanging="422"/>
      </w:pPr>
      <w:rPr>
        <w:rFonts w:hint="default"/>
        <w:lang w:val="zh-CN" w:eastAsia="zh-CN" w:bidi="zh-CN"/>
      </w:rPr>
    </w:lvl>
    <w:lvl w:ilvl="7">
      <w:start w:val="0"/>
      <w:numFmt w:val="bullet"/>
      <w:lvlText w:val="•"/>
      <w:lvlJc w:val="left"/>
      <w:pPr>
        <w:ind w:left="7197" w:hanging="422"/>
      </w:pPr>
      <w:rPr>
        <w:rFonts w:hint="default"/>
        <w:lang w:val="zh-CN" w:eastAsia="zh-CN" w:bidi="zh-CN"/>
      </w:rPr>
    </w:lvl>
    <w:lvl w:ilvl="8">
      <w:start w:val="0"/>
      <w:numFmt w:val="bullet"/>
      <w:lvlText w:val="•"/>
      <w:lvlJc w:val="left"/>
      <w:pPr>
        <w:ind w:left="8120" w:hanging="422"/>
      </w:pPr>
      <w:rPr>
        <w:rFonts w:hint="default"/>
        <w:lang w:val="zh-CN" w:eastAsia="zh-CN" w:bidi="zh-CN"/>
      </w:rPr>
    </w:lvl>
  </w:abstractNum>
  <w:abstractNum w:abstractNumId="21">
    <w:multiLevelType w:val="hybridMultilevel"/>
    <w:lvl w:ilvl="0">
      <w:start w:val="1"/>
      <w:numFmt w:val="decimal"/>
      <w:lvlText w:val="%1）"/>
      <w:lvlJc w:val="left"/>
      <w:pPr>
        <w:ind w:left="1022" w:hanging="440"/>
        <w:jc w:val="left"/>
      </w:pPr>
      <w:rPr>
        <w:rFonts w:hint="default" w:ascii="仿宋" w:hAnsi="仿宋" w:eastAsia="仿宋" w:cs="仿宋"/>
        <w:spacing w:val="8"/>
        <w:w w:val="100"/>
        <w:sz w:val="26"/>
        <w:szCs w:val="26"/>
        <w:lang w:val="zh-CN" w:eastAsia="zh-CN" w:bidi="zh-CN"/>
      </w:rPr>
    </w:lvl>
    <w:lvl w:ilvl="1">
      <w:start w:val="0"/>
      <w:numFmt w:val="bullet"/>
      <w:lvlText w:val="•"/>
      <w:lvlJc w:val="left"/>
      <w:pPr>
        <w:ind w:left="1914" w:hanging="440"/>
      </w:pPr>
      <w:rPr>
        <w:rFonts w:hint="default"/>
        <w:lang w:val="zh-CN" w:eastAsia="zh-CN" w:bidi="zh-CN"/>
      </w:rPr>
    </w:lvl>
    <w:lvl w:ilvl="2">
      <w:start w:val="0"/>
      <w:numFmt w:val="bullet"/>
      <w:lvlText w:val="•"/>
      <w:lvlJc w:val="left"/>
      <w:pPr>
        <w:ind w:left="2809" w:hanging="440"/>
      </w:pPr>
      <w:rPr>
        <w:rFonts w:hint="default"/>
        <w:lang w:val="zh-CN" w:eastAsia="zh-CN" w:bidi="zh-CN"/>
      </w:rPr>
    </w:lvl>
    <w:lvl w:ilvl="3">
      <w:start w:val="0"/>
      <w:numFmt w:val="bullet"/>
      <w:lvlText w:val="•"/>
      <w:lvlJc w:val="left"/>
      <w:pPr>
        <w:ind w:left="3703" w:hanging="440"/>
      </w:pPr>
      <w:rPr>
        <w:rFonts w:hint="default"/>
        <w:lang w:val="zh-CN" w:eastAsia="zh-CN" w:bidi="zh-CN"/>
      </w:rPr>
    </w:lvl>
    <w:lvl w:ilvl="4">
      <w:start w:val="0"/>
      <w:numFmt w:val="bullet"/>
      <w:lvlText w:val="•"/>
      <w:lvlJc w:val="left"/>
      <w:pPr>
        <w:ind w:left="4598" w:hanging="440"/>
      </w:pPr>
      <w:rPr>
        <w:rFonts w:hint="default"/>
        <w:lang w:val="zh-CN" w:eastAsia="zh-CN" w:bidi="zh-CN"/>
      </w:rPr>
    </w:lvl>
    <w:lvl w:ilvl="5">
      <w:start w:val="0"/>
      <w:numFmt w:val="bullet"/>
      <w:lvlText w:val="•"/>
      <w:lvlJc w:val="left"/>
      <w:pPr>
        <w:ind w:left="5492" w:hanging="440"/>
      </w:pPr>
      <w:rPr>
        <w:rFonts w:hint="default"/>
        <w:lang w:val="zh-CN" w:eastAsia="zh-CN" w:bidi="zh-CN"/>
      </w:rPr>
    </w:lvl>
    <w:lvl w:ilvl="6">
      <w:start w:val="0"/>
      <w:numFmt w:val="bullet"/>
      <w:lvlText w:val="•"/>
      <w:lvlJc w:val="left"/>
      <w:pPr>
        <w:ind w:left="6387" w:hanging="440"/>
      </w:pPr>
      <w:rPr>
        <w:rFonts w:hint="default"/>
        <w:lang w:val="zh-CN" w:eastAsia="zh-CN" w:bidi="zh-CN"/>
      </w:rPr>
    </w:lvl>
    <w:lvl w:ilvl="7">
      <w:start w:val="0"/>
      <w:numFmt w:val="bullet"/>
      <w:lvlText w:val="•"/>
      <w:lvlJc w:val="left"/>
      <w:pPr>
        <w:ind w:left="7281" w:hanging="440"/>
      </w:pPr>
      <w:rPr>
        <w:rFonts w:hint="default"/>
        <w:lang w:val="zh-CN" w:eastAsia="zh-CN" w:bidi="zh-CN"/>
      </w:rPr>
    </w:lvl>
    <w:lvl w:ilvl="8">
      <w:start w:val="0"/>
      <w:numFmt w:val="bullet"/>
      <w:lvlText w:val="•"/>
      <w:lvlJc w:val="left"/>
      <w:pPr>
        <w:ind w:left="8176" w:hanging="440"/>
      </w:pPr>
      <w:rPr>
        <w:rFonts w:hint="default"/>
        <w:lang w:val="zh-CN" w:eastAsia="zh-CN" w:bidi="zh-CN"/>
      </w:rPr>
    </w:lvl>
  </w:abstractNum>
  <w:abstractNum w:abstractNumId="20">
    <w:multiLevelType w:val="hybridMultilevel"/>
    <w:lvl w:ilvl="0">
      <w:start w:val="1"/>
      <w:numFmt w:val="decimal"/>
      <w:lvlText w:val="%1）"/>
      <w:lvlJc w:val="left"/>
      <w:pPr>
        <w:ind w:left="741" w:hanging="422"/>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1662" w:hanging="422"/>
      </w:pPr>
      <w:rPr>
        <w:rFonts w:hint="default"/>
        <w:lang w:val="zh-CN" w:eastAsia="zh-CN" w:bidi="zh-CN"/>
      </w:rPr>
    </w:lvl>
    <w:lvl w:ilvl="2">
      <w:start w:val="0"/>
      <w:numFmt w:val="bullet"/>
      <w:lvlText w:val="•"/>
      <w:lvlJc w:val="left"/>
      <w:pPr>
        <w:ind w:left="2585" w:hanging="422"/>
      </w:pPr>
      <w:rPr>
        <w:rFonts w:hint="default"/>
        <w:lang w:val="zh-CN" w:eastAsia="zh-CN" w:bidi="zh-CN"/>
      </w:rPr>
    </w:lvl>
    <w:lvl w:ilvl="3">
      <w:start w:val="0"/>
      <w:numFmt w:val="bullet"/>
      <w:lvlText w:val="•"/>
      <w:lvlJc w:val="left"/>
      <w:pPr>
        <w:ind w:left="3507" w:hanging="422"/>
      </w:pPr>
      <w:rPr>
        <w:rFonts w:hint="default"/>
        <w:lang w:val="zh-CN" w:eastAsia="zh-CN" w:bidi="zh-CN"/>
      </w:rPr>
    </w:lvl>
    <w:lvl w:ilvl="4">
      <w:start w:val="0"/>
      <w:numFmt w:val="bullet"/>
      <w:lvlText w:val="•"/>
      <w:lvlJc w:val="left"/>
      <w:pPr>
        <w:ind w:left="4430" w:hanging="422"/>
      </w:pPr>
      <w:rPr>
        <w:rFonts w:hint="default"/>
        <w:lang w:val="zh-CN" w:eastAsia="zh-CN" w:bidi="zh-CN"/>
      </w:rPr>
    </w:lvl>
    <w:lvl w:ilvl="5">
      <w:start w:val="0"/>
      <w:numFmt w:val="bullet"/>
      <w:lvlText w:val="•"/>
      <w:lvlJc w:val="left"/>
      <w:pPr>
        <w:ind w:left="5352" w:hanging="422"/>
      </w:pPr>
      <w:rPr>
        <w:rFonts w:hint="default"/>
        <w:lang w:val="zh-CN" w:eastAsia="zh-CN" w:bidi="zh-CN"/>
      </w:rPr>
    </w:lvl>
    <w:lvl w:ilvl="6">
      <w:start w:val="0"/>
      <w:numFmt w:val="bullet"/>
      <w:lvlText w:val="•"/>
      <w:lvlJc w:val="left"/>
      <w:pPr>
        <w:ind w:left="6275" w:hanging="422"/>
      </w:pPr>
      <w:rPr>
        <w:rFonts w:hint="default"/>
        <w:lang w:val="zh-CN" w:eastAsia="zh-CN" w:bidi="zh-CN"/>
      </w:rPr>
    </w:lvl>
    <w:lvl w:ilvl="7">
      <w:start w:val="0"/>
      <w:numFmt w:val="bullet"/>
      <w:lvlText w:val="•"/>
      <w:lvlJc w:val="left"/>
      <w:pPr>
        <w:ind w:left="7197" w:hanging="422"/>
      </w:pPr>
      <w:rPr>
        <w:rFonts w:hint="default"/>
        <w:lang w:val="zh-CN" w:eastAsia="zh-CN" w:bidi="zh-CN"/>
      </w:rPr>
    </w:lvl>
    <w:lvl w:ilvl="8">
      <w:start w:val="0"/>
      <w:numFmt w:val="bullet"/>
      <w:lvlText w:val="•"/>
      <w:lvlJc w:val="left"/>
      <w:pPr>
        <w:ind w:left="8120" w:hanging="422"/>
      </w:pPr>
      <w:rPr>
        <w:rFonts w:hint="default"/>
        <w:lang w:val="zh-CN" w:eastAsia="zh-CN" w:bidi="zh-CN"/>
      </w:rPr>
    </w:lvl>
  </w:abstractNum>
  <w:abstractNum w:abstractNumId="19">
    <w:multiLevelType w:val="hybridMultilevel"/>
    <w:lvl w:ilvl="0">
      <w:start w:val="1"/>
      <w:numFmt w:val="decimal"/>
      <w:lvlText w:val="%1）"/>
      <w:lvlJc w:val="left"/>
      <w:pPr>
        <w:ind w:left="741" w:hanging="430"/>
        <w:jc w:val="left"/>
      </w:pPr>
      <w:rPr>
        <w:rFonts w:hint="default" w:ascii="仿宋" w:hAnsi="仿宋" w:eastAsia="仿宋" w:cs="仿宋"/>
        <w:spacing w:val="3"/>
        <w:w w:val="100"/>
        <w:sz w:val="26"/>
        <w:szCs w:val="26"/>
        <w:lang w:val="zh-CN" w:eastAsia="zh-CN" w:bidi="zh-CN"/>
      </w:rPr>
    </w:lvl>
    <w:lvl w:ilvl="1">
      <w:start w:val="0"/>
      <w:numFmt w:val="bullet"/>
      <w:lvlText w:val="•"/>
      <w:lvlJc w:val="left"/>
      <w:pPr>
        <w:ind w:left="1662" w:hanging="430"/>
      </w:pPr>
      <w:rPr>
        <w:rFonts w:hint="default"/>
        <w:lang w:val="zh-CN" w:eastAsia="zh-CN" w:bidi="zh-CN"/>
      </w:rPr>
    </w:lvl>
    <w:lvl w:ilvl="2">
      <w:start w:val="0"/>
      <w:numFmt w:val="bullet"/>
      <w:lvlText w:val="•"/>
      <w:lvlJc w:val="left"/>
      <w:pPr>
        <w:ind w:left="2585" w:hanging="430"/>
      </w:pPr>
      <w:rPr>
        <w:rFonts w:hint="default"/>
        <w:lang w:val="zh-CN" w:eastAsia="zh-CN" w:bidi="zh-CN"/>
      </w:rPr>
    </w:lvl>
    <w:lvl w:ilvl="3">
      <w:start w:val="0"/>
      <w:numFmt w:val="bullet"/>
      <w:lvlText w:val="•"/>
      <w:lvlJc w:val="left"/>
      <w:pPr>
        <w:ind w:left="3507" w:hanging="430"/>
      </w:pPr>
      <w:rPr>
        <w:rFonts w:hint="default"/>
        <w:lang w:val="zh-CN" w:eastAsia="zh-CN" w:bidi="zh-CN"/>
      </w:rPr>
    </w:lvl>
    <w:lvl w:ilvl="4">
      <w:start w:val="0"/>
      <w:numFmt w:val="bullet"/>
      <w:lvlText w:val="•"/>
      <w:lvlJc w:val="left"/>
      <w:pPr>
        <w:ind w:left="4430" w:hanging="430"/>
      </w:pPr>
      <w:rPr>
        <w:rFonts w:hint="default"/>
        <w:lang w:val="zh-CN" w:eastAsia="zh-CN" w:bidi="zh-CN"/>
      </w:rPr>
    </w:lvl>
    <w:lvl w:ilvl="5">
      <w:start w:val="0"/>
      <w:numFmt w:val="bullet"/>
      <w:lvlText w:val="•"/>
      <w:lvlJc w:val="left"/>
      <w:pPr>
        <w:ind w:left="5352" w:hanging="430"/>
      </w:pPr>
      <w:rPr>
        <w:rFonts w:hint="default"/>
        <w:lang w:val="zh-CN" w:eastAsia="zh-CN" w:bidi="zh-CN"/>
      </w:rPr>
    </w:lvl>
    <w:lvl w:ilvl="6">
      <w:start w:val="0"/>
      <w:numFmt w:val="bullet"/>
      <w:lvlText w:val="•"/>
      <w:lvlJc w:val="left"/>
      <w:pPr>
        <w:ind w:left="6275" w:hanging="430"/>
      </w:pPr>
      <w:rPr>
        <w:rFonts w:hint="default"/>
        <w:lang w:val="zh-CN" w:eastAsia="zh-CN" w:bidi="zh-CN"/>
      </w:rPr>
    </w:lvl>
    <w:lvl w:ilvl="7">
      <w:start w:val="0"/>
      <w:numFmt w:val="bullet"/>
      <w:lvlText w:val="•"/>
      <w:lvlJc w:val="left"/>
      <w:pPr>
        <w:ind w:left="7197" w:hanging="430"/>
      </w:pPr>
      <w:rPr>
        <w:rFonts w:hint="default"/>
        <w:lang w:val="zh-CN" w:eastAsia="zh-CN" w:bidi="zh-CN"/>
      </w:rPr>
    </w:lvl>
    <w:lvl w:ilvl="8">
      <w:start w:val="0"/>
      <w:numFmt w:val="bullet"/>
      <w:lvlText w:val="•"/>
      <w:lvlJc w:val="left"/>
      <w:pPr>
        <w:ind w:left="8120" w:hanging="430"/>
      </w:pPr>
      <w:rPr>
        <w:rFonts w:hint="default"/>
        <w:lang w:val="zh-CN" w:eastAsia="zh-CN" w:bidi="zh-CN"/>
      </w:rPr>
    </w:lvl>
  </w:abstractNum>
  <w:abstractNum w:abstractNumId="18">
    <w:multiLevelType w:val="hybridMultilevel"/>
    <w:lvl w:ilvl="0">
      <w:start w:val="0"/>
      <w:numFmt w:val="bullet"/>
      <w:lvlText w:val="·"/>
      <w:lvlJc w:val="left"/>
      <w:pPr>
        <w:ind w:left="107"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33" w:hanging="61"/>
      </w:pPr>
      <w:rPr>
        <w:rFonts w:hint="default"/>
        <w:lang w:val="zh-CN" w:eastAsia="zh-CN" w:bidi="zh-CN"/>
      </w:rPr>
    </w:lvl>
    <w:lvl w:ilvl="2">
      <w:start w:val="0"/>
      <w:numFmt w:val="bullet"/>
      <w:lvlText w:val="•"/>
      <w:lvlJc w:val="left"/>
      <w:pPr>
        <w:ind w:left="1766" w:hanging="61"/>
      </w:pPr>
      <w:rPr>
        <w:rFonts w:hint="default"/>
        <w:lang w:val="zh-CN" w:eastAsia="zh-CN" w:bidi="zh-CN"/>
      </w:rPr>
    </w:lvl>
    <w:lvl w:ilvl="3">
      <w:start w:val="0"/>
      <w:numFmt w:val="bullet"/>
      <w:lvlText w:val="•"/>
      <w:lvlJc w:val="left"/>
      <w:pPr>
        <w:ind w:left="2600" w:hanging="61"/>
      </w:pPr>
      <w:rPr>
        <w:rFonts w:hint="default"/>
        <w:lang w:val="zh-CN" w:eastAsia="zh-CN" w:bidi="zh-CN"/>
      </w:rPr>
    </w:lvl>
    <w:lvl w:ilvl="4">
      <w:start w:val="0"/>
      <w:numFmt w:val="bullet"/>
      <w:lvlText w:val="•"/>
      <w:lvlJc w:val="left"/>
      <w:pPr>
        <w:ind w:left="3433" w:hanging="61"/>
      </w:pPr>
      <w:rPr>
        <w:rFonts w:hint="default"/>
        <w:lang w:val="zh-CN" w:eastAsia="zh-CN" w:bidi="zh-CN"/>
      </w:rPr>
    </w:lvl>
    <w:lvl w:ilvl="5">
      <w:start w:val="0"/>
      <w:numFmt w:val="bullet"/>
      <w:lvlText w:val="•"/>
      <w:lvlJc w:val="left"/>
      <w:pPr>
        <w:ind w:left="4267" w:hanging="61"/>
      </w:pPr>
      <w:rPr>
        <w:rFonts w:hint="default"/>
        <w:lang w:val="zh-CN" w:eastAsia="zh-CN" w:bidi="zh-CN"/>
      </w:rPr>
    </w:lvl>
    <w:lvl w:ilvl="6">
      <w:start w:val="0"/>
      <w:numFmt w:val="bullet"/>
      <w:lvlText w:val="•"/>
      <w:lvlJc w:val="left"/>
      <w:pPr>
        <w:ind w:left="5100" w:hanging="61"/>
      </w:pPr>
      <w:rPr>
        <w:rFonts w:hint="default"/>
        <w:lang w:val="zh-CN" w:eastAsia="zh-CN" w:bidi="zh-CN"/>
      </w:rPr>
    </w:lvl>
    <w:lvl w:ilvl="7">
      <w:start w:val="0"/>
      <w:numFmt w:val="bullet"/>
      <w:lvlText w:val="•"/>
      <w:lvlJc w:val="left"/>
      <w:pPr>
        <w:ind w:left="5933" w:hanging="61"/>
      </w:pPr>
      <w:rPr>
        <w:rFonts w:hint="default"/>
        <w:lang w:val="zh-CN" w:eastAsia="zh-CN" w:bidi="zh-CN"/>
      </w:rPr>
    </w:lvl>
    <w:lvl w:ilvl="8">
      <w:start w:val="0"/>
      <w:numFmt w:val="bullet"/>
      <w:lvlText w:val="•"/>
      <w:lvlJc w:val="left"/>
      <w:pPr>
        <w:ind w:left="6767" w:hanging="61"/>
      </w:pPr>
      <w:rPr>
        <w:rFonts w:hint="default"/>
        <w:lang w:val="zh-CN" w:eastAsia="zh-CN" w:bidi="zh-CN"/>
      </w:rPr>
    </w:lvl>
  </w:abstractNum>
  <w:abstractNum w:abstractNumId="17">
    <w:multiLevelType w:val="hybridMultilevel"/>
    <w:lvl w:ilvl="0">
      <w:start w:val="0"/>
      <w:numFmt w:val="bullet"/>
      <w:lvlText w:val="·"/>
      <w:lvlJc w:val="left"/>
      <w:pPr>
        <w:ind w:left="107"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33" w:hanging="61"/>
      </w:pPr>
      <w:rPr>
        <w:rFonts w:hint="default"/>
        <w:lang w:val="zh-CN" w:eastAsia="zh-CN" w:bidi="zh-CN"/>
      </w:rPr>
    </w:lvl>
    <w:lvl w:ilvl="2">
      <w:start w:val="0"/>
      <w:numFmt w:val="bullet"/>
      <w:lvlText w:val="•"/>
      <w:lvlJc w:val="left"/>
      <w:pPr>
        <w:ind w:left="1766" w:hanging="61"/>
      </w:pPr>
      <w:rPr>
        <w:rFonts w:hint="default"/>
        <w:lang w:val="zh-CN" w:eastAsia="zh-CN" w:bidi="zh-CN"/>
      </w:rPr>
    </w:lvl>
    <w:lvl w:ilvl="3">
      <w:start w:val="0"/>
      <w:numFmt w:val="bullet"/>
      <w:lvlText w:val="•"/>
      <w:lvlJc w:val="left"/>
      <w:pPr>
        <w:ind w:left="2600" w:hanging="61"/>
      </w:pPr>
      <w:rPr>
        <w:rFonts w:hint="default"/>
        <w:lang w:val="zh-CN" w:eastAsia="zh-CN" w:bidi="zh-CN"/>
      </w:rPr>
    </w:lvl>
    <w:lvl w:ilvl="4">
      <w:start w:val="0"/>
      <w:numFmt w:val="bullet"/>
      <w:lvlText w:val="•"/>
      <w:lvlJc w:val="left"/>
      <w:pPr>
        <w:ind w:left="3433" w:hanging="61"/>
      </w:pPr>
      <w:rPr>
        <w:rFonts w:hint="default"/>
        <w:lang w:val="zh-CN" w:eastAsia="zh-CN" w:bidi="zh-CN"/>
      </w:rPr>
    </w:lvl>
    <w:lvl w:ilvl="5">
      <w:start w:val="0"/>
      <w:numFmt w:val="bullet"/>
      <w:lvlText w:val="•"/>
      <w:lvlJc w:val="left"/>
      <w:pPr>
        <w:ind w:left="4267" w:hanging="61"/>
      </w:pPr>
      <w:rPr>
        <w:rFonts w:hint="default"/>
        <w:lang w:val="zh-CN" w:eastAsia="zh-CN" w:bidi="zh-CN"/>
      </w:rPr>
    </w:lvl>
    <w:lvl w:ilvl="6">
      <w:start w:val="0"/>
      <w:numFmt w:val="bullet"/>
      <w:lvlText w:val="•"/>
      <w:lvlJc w:val="left"/>
      <w:pPr>
        <w:ind w:left="5100" w:hanging="61"/>
      </w:pPr>
      <w:rPr>
        <w:rFonts w:hint="default"/>
        <w:lang w:val="zh-CN" w:eastAsia="zh-CN" w:bidi="zh-CN"/>
      </w:rPr>
    </w:lvl>
    <w:lvl w:ilvl="7">
      <w:start w:val="0"/>
      <w:numFmt w:val="bullet"/>
      <w:lvlText w:val="•"/>
      <w:lvlJc w:val="left"/>
      <w:pPr>
        <w:ind w:left="5933" w:hanging="61"/>
      </w:pPr>
      <w:rPr>
        <w:rFonts w:hint="default"/>
        <w:lang w:val="zh-CN" w:eastAsia="zh-CN" w:bidi="zh-CN"/>
      </w:rPr>
    </w:lvl>
    <w:lvl w:ilvl="8">
      <w:start w:val="0"/>
      <w:numFmt w:val="bullet"/>
      <w:lvlText w:val="•"/>
      <w:lvlJc w:val="left"/>
      <w:pPr>
        <w:ind w:left="6767" w:hanging="61"/>
      </w:pPr>
      <w:rPr>
        <w:rFonts w:hint="default"/>
        <w:lang w:val="zh-CN" w:eastAsia="zh-CN" w:bidi="zh-CN"/>
      </w:rPr>
    </w:lvl>
  </w:abstractNum>
  <w:abstractNum w:abstractNumId="16">
    <w:multiLevelType w:val="hybridMultilevel"/>
    <w:lvl w:ilvl="0">
      <w:start w:val="0"/>
      <w:numFmt w:val="bullet"/>
      <w:lvlText w:val="·"/>
      <w:lvlJc w:val="left"/>
      <w:pPr>
        <w:ind w:left="168"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87" w:hanging="61"/>
      </w:pPr>
      <w:rPr>
        <w:rFonts w:hint="default"/>
        <w:lang w:val="zh-CN" w:eastAsia="zh-CN" w:bidi="zh-CN"/>
      </w:rPr>
    </w:lvl>
    <w:lvl w:ilvl="2">
      <w:start w:val="0"/>
      <w:numFmt w:val="bullet"/>
      <w:lvlText w:val="•"/>
      <w:lvlJc w:val="left"/>
      <w:pPr>
        <w:ind w:left="1814" w:hanging="61"/>
      </w:pPr>
      <w:rPr>
        <w:rFonts w:hint="default"/>
        <w:lang w:val="zh-CN" w:eastAsia="zh-CN" w:bidi="zh-CN"/>
      </w:rPr>
    </w:lvl>
    <w:lvl w:ilvl="3">
      <w:start w:val="0"/>
      <w:numFmt w:val="bullet"/>
      <w:lvlText w:val="•"/>
      <w:lvlJc w:val="left"/>
      <w:pPr>
        <w:ind w:left="2642" w:hanging="61"/>
      </w:pPr>
      <w:rPr>
        <w:rFonts w:hint="default"/>
        <w:lang w:val="zh-CN" w:eastAsia="zh-CN" w:bidi="zh-CN"/>
      </w:rPr>
    </w:lvl>
    <w:lvl w:ilvl="4">
      <w:start w:val="0"/>
      <w:numFmt w:val="bullet"/>
      <w:lvlText w:val="•"/>
      <w:lvlJc w:val="left"/>
      <w:pPr>
        <w:ind w:left="3469" w:hanging="61"/>
      </w:pPr>
      <w:rPr>
        <w:rFonts w:hint="default"/>
        <w:lang w:val="zh-CN" w:eastAsia="zh-CN" w:bidi="zh-CN"/>
      </w:rPr>
    </w:lvl>
    <w:lvl w:ilvl="5">
      <w:start w:val="0"/>
      <w:numFmt w:val="bullet"/>
      <w:lvlText w:val="•"/>
      <w:lvlJc w:val="left"/>
      <w:pPr>
        <w:ind w:left="4297" w:hanging="61"/>
      </w:pPr>
      <w:rPr>
        <w:rFonts w:hint="default"/>
        <w:lang w:val="zh-CN" w:eastAsia="zh-CN" w:bidi="zh-CN"/>
      </w:rPr>
    </w:lvl>
    <w:lvl w:ilvl="6">
      <w:start w:val="0"/>
      <w:numFmt w:val="bullet"/>
      <w:lvlText w:val="•"/>
      <w:lvlJc w:val="left"/>
      <w:pPr>
        <w:ind w:left="5124" w:hanging="61"/>
      </w:pPr>
      <w:rPr>
        <w:rFonts w:hint="default"/>
        <w:lang w:val="zh-CN" w:eastAsia="zh-CN" w:bidi="zh-CN"/>
      </w:rPr>
    </w:lvl>
    <w:lvl w:ilvl="7">
      <w:start w:val="0"/>
      <w:numFmt w:val="bullet"/>
      <w:lvlText w:val="•"/>
      <w:lvlJc w:val="left"/>
      <w:pPr>
        <w:ind w:left="5951" w:hanging="61"/>
      </w:pPr>
      <w:rPr>
        <w:rFonts w:hint="default"/>
        <w:lang w:val="zh-CN" w:eastAsia="zh-CN" w:bidi="zh-CN"/>
      </w:rPr>
    </w:lvl>
    <w:lvl w:ilvl="8">
      <w:start w:val="0"/>
      <w:numFmt w:val="bullet"/>
      <w:lvlText w:val="•"/>
      <w:lvlJc w:val="left"/>
      <w:pPr>
        <w:ind w:left="6779" w:hanging="61"/>
      </w:pPr>
      <w:rPr>
        <w:rFonts w:hint="default"/>
        <w:lang w:val="zh-CN" w:eastAsia="zh-CN" w:bidi="zh-CN"/>
      </w:rPr>
    </w:lvl>
  </w:abstractNum>
  <w:abstractNum w:abstractNumId="15">
    <w:multiLevelType w:val="hybridMultilevel"/>
    <w:lvl w:ilvl="0">
      <w:start w:val="0"/>
      <w:numFmt w:val="bullet"/>
      <w:lvlText w:val="·"/>
      <w:lvlJc w:val="left"/>
      <w:pPr>
        <w:ind w:left="107"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33" w:hanging="61"/>
      </w:pPr>
      <w:rPr>
        <w:rFonts w:hint="default"/>
        <w:lang w:val="zh-CN" w:eastAsia="zh-CN" w:bidi="zh-CN"/>
      </w:rPr>
    </w:lvl>
    <w:lvl w:ilvl="2">
      <w:start w:val="0"/>
      <w:numFmt w:val="bullet"/>
      <w:lvlText w:val="•"/>
      <w:lvlJc w:val="left"/>
      <w:pPr>
        <w:ind w:left="1766" w:hanging="61"/>
      </w:pPr>
      <w:rPr>
        <w:rFonts w:hint="default"/>
        <w:lang w:val="zh-CN" w:eastAsia="zh-CN" w:bidi="zh-CN"/>
      </w:rPr>
    </w:lvl>
    <w:lvl w:ilvl="3">
      <w:start w:val="0"/>
      <w:numFmt w:val="bullet"/>
      <w:lvlText w:val="•"/>
      <w:lvlJc w:val="left"/>
      <w:pPr>
        <w:ind w:left="2600" w:hanging="61"/>
      </w:pPr>
      <w:rPr>
        <w:rFonts w:hint="default"/>
        <w:lang w:val="zh-CN" w:eastAsia="zh-CN" w:bidi="zh-CN"/>
      </w:rPr>
    </w:lvl>
    <w:lvl w:ilvl="4">
      <w:start w:val="0"/>
      <w:numFmt w:val="bullet"/>
      <w:lvlText w:val="•"/>
      <w:lvlJc w:val="left"/>
      <w:pPr>
        <w:ind w:left="3433" w:hanging="61"/>
      </w:pPr>
      <w:rPr>
        <w:rFonts w:hint="default"/>
        <w:lang w:val="zh-CN" w:eastAsia="zh-CN" w:bidi="zh-CN"/>
      </w:rPr>
    </w:lvl>
    <w:lvl w:ilvl="5">
      <w:start w:val="0"/>
      <w:numFmt w:val="bullet"/>
      <w:lvlText w:val="•"/>
      <w:lvlJc w:val="left"/>
      <w:pPr>
        <w:ind w:left="4267" w:hanging="61"/>
      </w:pPr>
      <w:rPr>
        <w:rFonts w:hint="default"/>
        <w:lang w:val="zh-CN" w:eastAsia="zh-CN" w:bidi="zh-CN"/>
      </w:rPr>
    </w:lvl>
    <w:lvl w:ilvl="6">
      <w:start w:val="0"/>
      <w:numFmt w:val="bullet"/>
      <w:lvlText w:val="•"/>
      <w:lvlJc w:val="left"/>
      <w:pPr>
        <w:ind w:left="5100" w:hanging="61"/>
      </w:pPr>
      <w:rPr>
        <w:rFonts w:hint="default"/>
        <w:lang w:val="zh-CN" w:eastAsia="zh-CN" w:bidi="zh-CN"/>
      </w:rPr>
    </w:lvl>
    <w:lvl w:ilvl="7">
      <w:start w:val="0"/>
      <w:numFmt w:val="bullet"/>
      <w:lvlText w:val="•"/>
      <w:lvlJc w:val="left"/>
      <w:pPr>
        <w:ind w:left="5933" w:hanging="61"/>
      </w:pPr>
      <w:rPr>
        <w:rFonts w:hint="default"/>
        <w:lang w:val="zh-CN" w:eastAsia="zh-CN" w:bidi="zh-CN"/>
      </w:rPr>
    </w:lvl>
    <w:lvl w:ilvl="8">
      <w:start w:val="0"/>
      <w:numFmt w:val="bullet"/>
      <w:lvlText w:val="•"/>
      <w:lvlJc w:val="left"/>
      <w:pPr>
        <w:ind w:left="6767" w:hanging="61"/>
      </w:pPr>
      <w:rPr>
        <w:rFonts w:hint="default"/>
        <w:lang w:val="zh-CN" w:eastAsia="zh-CN" w:bidi="zh-CN"/>
      </w:rPr>
    </w:lvl>
  </w:abstractNum>
  <w:abstractNum w:abstractNumId="14">
    <w:multiLevelType w:val="hybridMultilevel"/>
    <w:lvl w:ilvl="0">
      <w:start w:val="0"/>
      <w:numFmt w:val="bullet"/>
      <w:lvlText w:val="·"/>
      <w:lvlJc w:val="left"/>
      <w:pPr>
        <w:ind w:left="168"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87" w:hanging="61"/>
      </w:pPr>
      <w:rPr>
        <w:rFonts w:hint="default"/>
        <w:lang w:val="zh-CN" w:eastAsia="zh-CN" w:bidi="zh-CN"/>
      </w:rPr>
    </w:lvl>
    <w:lvl w:ilvl="2">
      <w:start w:val="0"/>
      <w:numFmt w:val="bullet"/>
      <w:lvlText w:val="•"/>
      <w:lvlJc w:val="left"/>
      <w:pPr>
        <w:ind w:left="1814" w:hanging="61"/>
      </w:pPr>
      <w:rPr>
        <w:rFonts w:hint="default"/>
        <w:lang w:val="zh-CN" w:eastAsia="zh-CN" w:bidi="zh-CN"/>
      </w:rPr>
    </w:lvl>
    <w:lvl w:ilvl="3">
      <w:start w:val="0"/>
      <w:numFmt w:val="bullet"/>
      <w:lvlText w:val="•"/>
      <w:lvlJc w:val="left"/>
      <w:pPr>
        <w:ind w:left="2642" w:hanging="61"/>
      </w:pPr>
      <w:rPr>
        <w:rFonts w:hint="default"/>
        <w:lang w:val="zh-CN" w:eastAsia="zh-CN" w:bidi="zh-CN"/>
      </w:rPr>
    </w:lvl>
    <w:lvl w:ilvl="4">
      <w:start w:val="0"/>
      <w:numFmt w:val="bullet"/>
      <w:lvlText w:val="•"/>
      <w:lvlJc w:val="left"/>
      <w:pPr>
        <w:ind w:left="3469" w:hanging="61"/>
      </w:pPr>
      <w:rPr>
        <w:rFonts w:hint="default"/>
        <w:lang w:val="zh-CN" w:eastAsia="zh-CN" w:bidi="zh-CN"/>
      </w:rPr>
    </w:lvl>
    <w:lvl w:ilvl="5">
      <w:start w:val="0"/>
      <w:numFmt w:val="bullet"/>
      <w:lvlText w:val="•"/>
      <w:lvlJc w:val="left"/>
      <w:pPr>
        <w:ind w:left="4297" w:hanging="61"/>
      </w:pPr>
      <w:rPr>
        <w:rFonts w:hint="default"/>
        <w:lang w:val="zh-CN" w:eastAsia="zh-CN" w:bidi="zh-CN"/>
      </w:rPr>
    </w:lvl>
    <w:lvl w:ilvl="6">
      <w:start w:val="0"/>
      <w:numFmt w:val="bullet"/>
      <w:lvlText w:val="•"/>
      <w:lvlJc w:val="left"/>
      <w:pPr>
        <w:ind w:left="5124" w:hanging="61"/>
      </w:pPr>
      <w:rPr>
        <w:rFonts w:hint="default"/>
        <w:lang w:val="zh-CN" w:eastAsia="zh-CN" w:bidi="zh-CN"/>
      </w:rPr>
    </w:lvl>
    <w:lvl w:ilvl="7">
      <w:start w:val="0"/>
      <w:numFmt w:val="bullet"/>
      <w:lvlText w:val="•"/>
      <w:lvlJc w:val="left"/>
      <w:pPr>
        <w:ind w:left="5951" w:hanging="61"/>
      </w:pPr>
      <w:rPr>
        <w:rFonts w:hint="default"/>
        <w:lang w:val="zh-CN" w:eastAsia="zh-CN" w:bidi="zh-CN"/>
      </w:rPr>
    </w:lvl>
    <w:lvl w:ilvl="8">
      <w:start w:val="0"/>
      <w:numFmt w:val="bullet"/>
      <w:lvlText w:val="•"/>
      <w:lvlJc w:val="left"/>
      <w:pPr>
        <w:ind w:left="6779" w:hanging="61"/>
      </w:pPr>
      <w:rPr>
        <w:rFonts w:hint="default"/>
        <w:lang w:val="zh-CN" w:eastAsia="zh-CN" w:bidi="zh-CN"/>
      </w:rPr>
    </w:lvl>
  </w:abstractNum>
  <w:abstractNum w:abstractNumId="13">
    <w:multiLevelType w:val="hybridMultilevel"/>
    <w:lvl w:ilvl="0">
      <w:start w:val="0"/>
      <w:numFmt w:val="bullet"/>
      <w:lvlText w:val="·"/>
      <w:lvlJc w:val="left"/>
      <w:pPr>
        <w:ind w:left="168"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87" w:hanging="61"/>
      </w:pPr>
      <w:rPr>
        <w:rFonts w:hint="default"/>
        <w:lang w:val="zh-CN" w:eastAsia="zh-CN" w:bidi="zh-CN"/>
      </w:rPr>
    </w:lvl>
    <w:lvl w:ilvl="2">
      <w:start w:val="0"/>
      <w:numFmt w:val="bullet"/>
      <w:lvlText w:val="•"/>
      <w:lvlJc w:val="left"/>
      <w:pPr>
        <w:ind w:left="1814" w:hanging="61"/>
      </w:pPr>
      <w:rPr>
        <w:rFonts w:hint="default"/>
        <w:lang w:val="zh-CN" w:eastAsia="zh-CN" w:bidi="zh-CN"/>
      </w:rPr>
    </w:lvl>
    <w:lvl w:ilvl="3">
      <w:start w:val="0"/>
      <w:numFmt w:val="bullet"/>
      <w:lvlText w:val="•"/>
      <w:lvlJc w:val="left"/>
      <w:pPr>
        <w:ind w:left="2642" w:hanging="61"/>
      </w:pPr>
      <w:rPr>
        <w:rFonts w:hint="default"/>
        <w:lang w:val="zh-CN" w:eastAsia="zh-CN" w:bidi="zh-CN"/>
      </w:rPr>
    </w:lvl>
    <w:lvl w:ilvl="4">
      <w:start w:val="0"/>
      <w:numFmt w:val="bullet"/>
      <w:lvlText w:val="•"/>
      <w:lvlJc w:val="left"/>
      <w:pPr>
        <w:ind w:left="3469" w:hanging="61"/>
      </w:pPr>
      <w:rPr>
        <w:rFonts w:hint="default"/>
        <w:lang w:val="zh-CN" w:eastAsia="zh-CN" w:bidi="zh-CN"/>
      </w:rPr>
    </w:lvl>
    <w:lvl w:ilvl="5">
      <w:start w:val="0"/>
      <w:numFmt w:val="bullet"/>
      <w:lvlText w:val="•"/>
      <w:lvlJc w:val="left"/>
      <w:pPr>
        <w:ind w:left="4297" w:hanging="61"/>
      </w:pPr>
      <w:rPr>
        <w:rFonts w:hint="default"/>
        <w:lang w:val="zh-CN" w:eastAsia="zh-CN" w:bidi="zh-CN"/>
      </w:rPr>
    </w:lvl>
    <w:lvl w:ilvl="6">
      <w:start w:val="0"/>
      <w:numFmt w:val="bullet"/>
      <w:lvlText w:val="•"/>
      <w:lvlJc w:val="left"/>
      <w:pPr>
        <w:ind w:left="5124" w:hanging="61"/>
      </w:pPr>
      <w:rPr>
        <w:rFonts w:hint="default"/>
        <w:lang w:val="zh-CN" w:eastAsia="zh-CN" w:bidi="zh-CN"/>
      </w:rPr>
    </w:lvl>
    <w:lvl w:ilvl="7">
      <w:start w:val="0"/>
      <w:numFmt w:val="bullet"/>
      <w:lvlText w:val="•"/>
      <w:lvlJc w:val="left"/>
      <w:pPr>
        <w:ind w:left="5951" w:hanging="61"/>
      </w:pPr>
      <w:rPr>
        <w:rFonts w:hint="default"/>
        <w:lang w:val="zh-CN" w:eastAsia="zh-CN" w:bidi="zh-CN"/>
      </w:rPr>
    </w:lvl>
    <w:lvl w:ilvl="8">
      <w:start w:val="0"/>
      <w:numFmt w:val="bullet"/>
      <w:lvlText w:val="•"/>
      <w:lvlJc w:val="left"/>
      <w:pPr>
        <w:ind w:left="6779" w:hanging="61"/>
      </w:pPr>
      <w:rPr>
        <w:rFonts w:hint="default"/>
        <w:lang w:val="zh-CN" w:eastAsia="zh-CN" w:bidi="zh-CN"/>
      </w:rPr>
    </w:lvl>
  </w:abstractNum>
  <w:abstractNum w:abstractNumId="12">
    <w:multiLevelType w:val="hybridMultilevel"/>
    <w:lvl w:ilvl="0">
      <w:start w:val="0"/>
      <w:numFmt w:val="bullet"/>
      <w:lvlText w:val="·"/>
      <w:lvlJc w:val="left"/>
      <w:pPr>
        <w:ind w:left="168"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87" w:hanging="61"/>
      </w:pPr>
      <w:rPr>
        <w:rFonts w:hint="default"/>
        <w:lang w:val="zh-CN" w:eastAsia="zh-CN" w:bidi="zh-CN"/>
      </w:rPr>
    </w:lvl>
    <w:lvl w:ilvl="2">
      <w:start w:val="0"/>
      <w:numFmt w:val="bullet"/>
      <w:lvlText w:val="•"/>
      <w:lvlJc w:val="left"/>
      <w:pPr>
        <w:ind w:left="1814" w:hanging="61"/>
      </w:pPr>
      <w:rPr>
        <w:rFonts w:hint="default"/>
        <w:lang w:val="zh-CN" w:eastAsia="zh-CN" w:bidi="zh-CN"/>
      </w:rPr>
    </w:lvl>
    <w:lvl w:ilvl="3">
      <w:start w:val="0"/>
      <w:numFmt w:val="bullet"/>
      <w:lvlText w:val="•"/>
      <w:lvlJc w:val="left"/>
      <w:pPr>
        <w:ind w:left="2642" w:hanging="61"/>
      </w:pPr>
      <w:rPr>
        <w:rFonts w:hint="default"/>
        <w:lang w:val="zh-CN" w:eastAsia="zh-CN" w:bidi="zh-CN"/>
      </w:rPr>
    </w:lvl>
    <w:lvl w:ilvl="4">
      <w:start w:val="0"/>
      <w:numFmt w:val="bullet"/>
      <w:lvlText w:val="•"/>
      <w:lvlJc w:val="left"/>
      <w:pPr>
        <w:ind w:left="3469" w:hanging="61"/>
      </w:pPr>
      <w:rPr>
        <w:rFonts w:hint="default"/>
        <w:lang w:val="zh-CN" w:eastAsia="zh-CN" w:bidi="zh-CN"/>
      </w:rPr>
    </w:lvl>
    <w:lvl w:ilvl="5">
      <w:start w:val="0"/>
      <w:numFmt w:val="bullet"/>
      <w:lvlText w:val="•"/>
      <w:lvlJc w:val="left"/>
      <w:pPr>
        <w:ind w:left="4297" w:hanging="61"/>
      </w:pPr>
      <w:rPr>
        <w:rFonts w:hint="default"/>
        <w:lang w:val="zh-CN" w:eastAsia="zh-CN" w:bidi="zh-CN"/>
      </w:rPr>
    </w:lvl>
    <w:lvl w:ilvl="6">
      <w:start w:val="0"/>
      <w:numFmt w:val="bullet"/>
      <w:lvlText w:val="•"/>
      <w:lvlJc w:val="left"/>
      <w:pPr>
        <w:ind w:left="5124" w:hanging="61"/>
      </w:pPr>
      <w:rPr>
        <w:rFonts w:hint="default"/>
        <w:lang w:val="zh-CN" w:eastAsia="zh-CN" w:bidi="zh-CN"/>
      </w:rPr>
    </w:lvl>
    <w:lvl w:ilvl="7">
      <w:start w:val="0"/>
      <w:numFmt w:val="bullet"/>
      <w:lvlText w:val="•"/>
      <w:lvlJc w:val="left"/>
      <w:pPr>
        <w:ind w:left="5951" w:hanging="61"/>
      </w:pPr>
      <w:rPr>
        <w:rFonts w:hint="default"/>
        <w:lang w:val="zh-CN" w:eastAsia="zh-CN" w:bidi="zh-CN"/>
      </w:rPr>
    </w:lvl>
    <w:lvl w:ilvl="8">
      <w:start w:val="0"/>
      <w:numFmt w:val="bullet"/>
      <w:lvlText w:val="•"/>
      <w:lvlJc w:val="left"/>
      <w:pPr>
        <w:ind w:left="6779" w:hanging="61"/>
      </w:pPr>
      <w:rPr>
        <w:rFonts w:hint="default"/>
        <w:lang w:val="zh-CN" w:eastAsia="zh-CN" w:bidi="zh-CN"/>
      </w:rPr>
    </w:lvl>
  </w:abstractNum>
  <w:abstractNum w:abstractNumId="11">
    <w:multiLevelType w:val="hybridMultilevel"/>
    <w:lvl w:ilvl="0">
      <w:start w:val="0"/>
      <w:numFmt w:val="bullet"/>
      <w:lvlText w:val="·"/>
      <w:lvlJc w:val="left"/>
      <w:pPr>
        <w:ind w:left="168"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87" w:hanging="61"/>
      </w:pPr>
      <w:rPr>
        <w:rFonts w:hint="default"/>
        <w:lang w:val="zh-CN" w:eastAsia="zh-CN" w:bidi="zh-CN"/>
      </w:rPr>
    </w:lvl>
    <w:lvl w:ilvl="2">
      <w:start w:val="0"/>
      <w:numFmt w:val="bullet"/>
      <w:lvlText w:val="•"/>
      <w:lvlJc w:val="left"/>
      <w:pPr>
        <w:ind w:left="1814" w:hanging="61"/>
      </w:pPr>
      <w:rPr>
        <w:rFonts w:hint="default"/>
        <w:lang w:val="zh-CN" w:eastAsia="zh-CN" w:bidi="zh-CN"/>
      </w:rPr>
    </w:lvl>
    <w:lvl w:ilvl="3">
      <w:start w:val="0"/>
      <w:numFmt w:val="bullet"/>
      <w:lvlText w:val="•"/>
      <w:lvlJc w:val="left"/>
      <w:pPr>
        <w:ind w:left="2642" w:hanging="61"/>
      </w:pPr>
      <w:rPr>
        <w:rFonts w:hint="default"/>
        <w:lang w:val="zh-CN" w:eastAsia="zh-CN" w:bidi="zh-CN"/>
      </w:rPr>
    </w:lvl>
    <w:lvl w:ilvl="4">
      <w:start w:val="0"/>
      <w:numFmt w:val="bullet"/>
      <w:lvlText w:val="•"/>
      <w:lvlJc w:val="left"/>
      <w:pPr>
        <w:ind w:left="3469" w:hanging="61"/>
      </w:pPr>
      <w:rPr>
        <w:rFonts w:hint="default"/>
        <w:lang w:val="zh-CN" w:eastAsia="zh-CN" w:bidi="zh-CN"/>
      </w:rPr>
    </w:lvl>
    <w:lvl w:ilvl="5">
      <w:start w:val="0"/>
      <w:numFmt w:val="bullet"/>
      <w:lvlText w:val="•"/>
      <w:lvlJc w:val="left"/>
      <w:pPr>
        <w:ind w:left="4297" w:hanging="61"/>
      </w:pPr>
      <w:rPr>
        <w:rFonts w:hint="default"/>
        <w:lang w:val="zh-CN" w:eastAsia="zh-CN" w:bidi="zh-CN"/>
      </w:rPr>
    </w:lvl>
    <w:lvl w:ilvl="6">
      <w:start w:val="0"/>
      <w:numFmt w:val="bullet"/>
      <w:lvlText w:val="•"/>
      <w:lvlJc w:val="left"/>
      <w:pPr>
        <w:ind w:left="5124" w:hanging="61"/>
      </w:pPr>
      <w:rPr>
        <w:rFonts w:hint="default"/>
        <w:lang w:val="zh-CN" w:eastAsia="zh-CN" w:bidi="zh-CN"/>
      </w:rPr>
    </w:lvl>
    <w:lvl w:ilvl="7">
      <w:start w:val="0"/>
      <w:numFmt w:val="bullet"/>
      <w:lvlText w:val="•"/>
      <w:lvlJc w:val="left"/>
      <w:pPr>
        <w:ind w:left="5951" w:hanging="61"/>
      </w:pPr>
      <w:rPr>
        <w:rFonts w:hint="default"/>
        <w:lang w:val="zh-CN" w:eastAsia="zh-CN" w:bidi="zh-CN"/>
      </w:rPr>
    </w:lvl>
    <w:lvl w:ilvl="8">
      <w:start w:val="0"/>
      <w:numFmt w:val="bullet"/>
      <w:lvlText w:val="•"/>
      <w:lvlJc w:val="left"/>
      <w:pPr>
        <w:ind w:left="6779" w:hanging="61"/>
      </w:pPr>
      <w:rPr>
        <w:rFonts w:hint="default"/>
        <w:lang w:val="zh-CN" w:eastAsia="zh-CN" w:bidi="zh-CN"/>
      </w:rPr>
    </w:lvl>
  </w:abstractNum>
  <w:abstractNum w:abstractNumId="10">
    <w:multiLevelType w:val="hybridMultilevel"/>
    <w:lvl w:ilvl="0">
      <w:start w:val="0"/>
      <w:numFmt w:val="bullet"/>
      <w:lvlText w:val="·"/>
      <w:lvlJc w:val="left"/>
      <w:pPr>
        <w:ind w:left="107" w:hanging="61"/>
      </w:pPr>
      <w:rPr>
        <w:rFonts w:hint="default" w:ascii="Times New Roman" w:hAnsi="Times New Roman" w:eastAsia="Times New Roman" w:cs="Times New Roman"/>
        <w:w w:val="100"/>
        <w:sz w:val="16"/>
        <w:szCs w:val="16"/>
        <w:lang w:val="zh-CN" w:eastAsia="zh-CN" w:bidi="zh-CN"/>
      </w:rPr>
    </w:lvl>
    <w:lvl w:ilvl="1">
      <w:start w:val="0"/>
      <w:numFmt w:val="bullet"/>
      <w:lvlText w:val="•"/>
      <w:lvlJc w:val="left"/>
      <w:pPr>
        <w:ind w:left="933" w:hanging="61"/>
      </w:pPr>
      <w:rPr>
        <w:rFonts w:hint="default"/>
        <w:lang w:val="zh-CN" w:eastAsia="zh-CN" w:bidi="zh-CN"/>
      </w:rPr>
    </w:lvl>
    <w:lvl w:ilvl="2">
      <w:start w:val="0"/>
      <w:numFmt w:val="bullet"/>
      <w:lvlText w:val="•"/>
      <w:lvlJc w:val="left"/>
      <w:pPr>
        <w:ind w:left="1766" w:hanging="61"/>
      </w:pPr>
      <w:rPr>
        <w:rFonts w:hint="default"/>
        <w:lang w:val="zh-CN" w:eastAsia="zh-CN" w:bidi="zh-CN"/>
      </w:rPr>
    </w:lvl>
    <w:lvl w:ilvl="3">
      <w:start w:val="0"/>
      <w:numFmt w:val="bullet"/>
      <w:lvlText w:val="•"/>
      <w:lvlJc w:val="left"/>
      <w:pPr>
        <w:ind w:left="2600" w:hanging="61"/>
      </w:pPr>
      <w:rPr>
        <w:rFonts w:hint="default"/>
        <w:lang w:val="zh-CN" w:eastAsia="zh-CN" w:bidi="zh-CN"/>
      </w:rPr>
    </w:lvl>
    <w:lvl w:ilvl="4">
      <w:start w:val="0"/>
      <w:numFmt w:val="bullet"/>
      <w:lvlText w:val="•"/>
      <w:lvlJc w:val="left"/>
      <w:pPr>
        <w:ind w:left="3433" w:hanging="61"/>
      </w:pPr>
      <w:rPr>
        <w:rFonts w:hint="default"/>
        <w:lang w:val="zh-CN" w:eastAsia="zh-CN" w:bidi="zh-CN"/>
      </w:rPr>
    </w:lvl>
    <w:lvl w:ilvl="5">
      <w:start w:val="0"/>
      <w:numFmt w:val="bullet"/>
      <w:lvlText w:val="•"/>
      <w:lvlJc w:val="left"/>
      <w:pPr>
        <w:ind w:left="4267" w:hanging="61"/>
      </w:pPr>
      <w:rPr>
        <w:rFonts w:hint="default"/>
        <w:lang w:val="zh-CN" w:eastAsia="zh-CN" w:bidi="zh-CN"/>
      </w:rPr>
    </w:lvl>
    <w:lvl w:ilvl="6">
      <w:start w:val="0"/>
      <w:numFmt w:val="bullet"/>
      <w:lvlText w:val="•"/>
      <w:lvlJc w:val="left"/>
      <w:pPr>
        <w:ind w:left="5100" w:hanging="61"/>
      </w:pPr>
      <w:rPr>
        <w:rFonts w:hint="default"/>
        <w:lang w:val="zh-CN" w:eastAsia="zh-CN" w:bidi="zh-CN"/>
      </w:rPr>
    </w:lvl>
    <w:lvl w:ilvl="7">
      <w:start w:val="0"/>
      <w:numFmt w:val="bullet"/>
      <w:lvlText w:val="•"/>
      <w:lvlJc w:val="left"/>
      <w:pPr>
        <w:ind w:left="5933" w:hanging="61"/>
      </w:pPr>
      <w:rPr>
        <w:rFonts w:hint="default"/>
        <w:lang w:val="zh-CN" w:eastAsia="zh-CN" w:bidi="zh-CN"/>
      </w:rPr>
    </w:lvl>
    <w:lvl w:ilvl="8">
      <w:start w:val="0"/>
      <w:numFmt w:val="bullet"/>
      <w:lvlText w:val="•"/>
      <w:lvlJc w:val="left"/>
      <w:pPr>
        <w:ind w:left="6767" w:hanging="61"/>
      </w:pPr>
      <w:rPr>
        <w:rFonts w:hint="default"/>
        <w:lang w:val="zh-CN" w:eastAsia="zh-CN" w:bidi="zh-CN"/>
      </w:rPr>
    </w:lvl>
  </w:abstractNum>
  <w:abstractNum w:abstractNumId="9">
    <w:multiLevelType w:val="hybridMultilevel"/>
    <w:lvl w:ilvl="0">
      <w:start w:val="1"/>
      <w:numFmt w:val="decimal"/>
      <w:lvlText w:val="%1."/>
      <w:lvlJc w:val="left"/>
      <w:pPr>
        <w:ind w:left="738" w:hanging="212"/>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1574" w:hanging="212"/>
      </w:pPr>
      <w:rPr>
        <w:rFonts w:hint="default"/>
        <w:lang w:val="zh-CN" w:eastAsia="zh-CN" w:bidi="zh-CN"/>
      </w:rPr>
    </w:lvl>
    <w:lvl w:ilvl="2">
      <w:start w:val="0"/>
      <w:numFmt w:val="bullet"/>
      <w:lvlText w:val="•"/>
      <w:lvlJc w:val="left"/>
      <w:pPr>
        <w:ind w:left="2408" w:hanging="212"/>
      </w:pPr>
      <w:rPr>
        <w:rFonts w:hint="default"/>
        <w:lang w:val="zh-CN" w:eastAsia="zh-CN" w:bidi="zh-CN"/>
      </w:rPr>
    </w:lvl>
    <w:lvl w:ilvl="3">
      <w:start w:val="0"/>
      <w:numFmt w:val="bullet"/>
      <w:lvlText w:val="•"/>
      <w:lvlJc w:val="left"/>
      <w:pPr>
        <w:ind w:left="3242" w:hanging="212"/>
      </w:pPr>
      <w:rPr>
        <w:rFonts w:hint="default"/>
        <w:lang w:val="zh-CN" w:eastAsia="zh-CN" w:bidi="zh-CN"/>
      </w:rPr>
    </w:lvl>
    <w:lvl w:ilvl="4">
      <w:start w:val="0"/>
      <w:numFmt w:val="bullet"/>
      <w:lvlText w:val="•"/>
      <w:lvlJc w:val="left"/>
      <w:pPr>
        <w:ind w:left="4076" w:hanging="212"/>
      </w:pPr>
      <w:rPr>
        <w:rFonts w:hint="default"/>
        <w:lang w:val="zh-CN" w:eastAsia="zh-CN" w:bidi="zh-CN"/>
      </w:rPr>
    </w:lvl>
    <w:lvl w:ilvl="5">
      <w:start w:val="0"/>
      <w:numFmt w:val="bullet"/>
      <w:lvlText w:val="•"/>
      <w:lvlJc w:val="left"/>
      <w:pPr>
        <w:ind w:left="4910" w:hanging="212"/>
      </w:pPr>
      <w:rPr>
        <w:rFonts w:hint="default"/>
        <w:lang w:val="zh-CN" w:eastAsia="zh-CN" w:bidi="zh-CN"/>
      </w:rPr>
    </w:lvl>
    <w:lvl w:ilvl="6">
      <w:start w:val="0"/>
      <w:numFmt w:val="bullet"/>
      <w:lvlText w:val="•"/>
      <w:lvlJc w:val="left"/>
      <w:pPr>
        <w:ind w:left="5744" w:hanging="212"/>
      </w:pPr>
      <w:rPr>
        <w:rFonts w:hint="default"/>
        <w:lang w:val="zh-CN" w:eastAsia="zh-CN" w:bidi="zh-CN"/>
      </w:rPr>
    </w:lvl>
    <w:lvl w:ilvl="7">
      <w:start w:val="0"/>
      <w:numFmt w:val="bullet"/>
      <w:lvlText w:val="•"/>
      <w:lvlJc w:val="left"/>
      <w:pPr>
        <w:ind w:left="6578" w:hanging="212"/>
      </w:pPr>
      <w:rPr>
        <w:rFonts w:hint="default"/>
        <w:lang w:val="zh-CN" w:eastAsia="zh-CN" w:bidi="zh-CN"/>
      </w:rPr>
    </w:lvl>
    <w:lvl w:ilvl="8">
      <w:start w:val="0"/>
      <w:numFmt w:val="bullet"/>
      <w:lvlText w:val="•"/>
      <w:lvlJc w:val="left"/>
      <w:pPr>
        <w:ind w:left="7412" w:hanging="212"/>
      </w:pPr>
      <w:rPr>
        <w:rFonts w:hint="default"/>
        <w:lang w:val="zh-CN" w:eastAsia="zh-CN" w:bidi="zh-CN"/>
      </w:rPr>
    </w:lvl>
  </w:abstractNum>
  <w:abstractNum w:abstractNumId="8">
    <w:multiLevelType w:val="hybridMultilevel"/>
    <w:lvl w:ilvl="0">
      <w:start w:val="3"/>
      <w:numFmt w:val="decimal"/>
      <w:lvlText w:val="%1"/>
      <w:lvlJc w:val="left"/>
      <w:pPr>
        <w:ind w:left="663" w:hanging="243"/>
        <w:jc w:val="right"/>
      </w:pPr>
      <w:rPr>
        <w:rFonts w:hint="default" w:ascii="仿宋" w:hAnsi="仿宋" w:eastAsia="仿宋" w:cs="仿宋"/>
        <w:b/>
        <w:bCs/>
        <w:w w:val="98"/>
        <w:sz w:val="32"/>
        <w:szCs w:val="32"/>
        <w:lang w:val="zh-CN" w:eastAsia="zh-CN" w:bidi="zh-CN"/>
      </w:rPr>
    </w:lvl>
    <w:lvl w:ilvl="1">
      <w:start w:val="1"/>
      <w:numFmt w:val="decimal"/>
      <w:lvlText w:val="%1.%2"/>
      <w:lvlJc w:val="left"/>
      <w:pPr>
        <w:ind w:left="916" w:hanging="495"/>
        <w:jc w:val="right"/>
      </w:pPr>
      <w:rPr>
        <w:rFonts w:hint="default" w:ascii="仿宋" w:hAnsi="仿宋" w:eastAsia="仿宋" w:cs="仿宋"/>
        <w:b/>
        <w:bCs/>
        <w:spacing w:val="0"/>
        <w:w w:val="99"/>
        <w:sz w:val="28"/>
        <w:szCs w:val="28"/>
        <w:lang w:val="zh-CN" w:eastAsia="zh-CN" w:bidi="zh-CN"/>
      </w:rPr>
    </w:lvl>
    <w:lvl w:ilvl="2">
      <w:start w:val="1"/>
      <w:numFmt w:val="decimal"/>
      <w:lvlText w:val="%1.%2.%3"/>
      <w:lvlJc w:val="left"/>
      <w:pPr>
        <w:ind w:left="1300" w:hanging="848"/>
        <w:jc w:val="left"/>
      </w:pPr>
      <w:rPr>
        <w:rFonts w:hint="default" w:ascii="仿宋" w:hAnsi="仿宋" w:eastAsia="仿宋" w:cs="仿宋"/>
        <w:b/>
        <w:bCs/>
        <w:spacing w:val="0"/>
        <w:w w:val="99"/>
        <w:sz w:val="28"/>
        <w:szCs w:val="28"/>
        <w:lang w:val="zh-CN" w:eastAsia="zh-CN" w:bidi="zh-CN"/>
      </w:rPr>
    </w:lvl>
    <w:lvl w:ilvl="3">
      <w:start w:val="2"/>
      <w:numFmt w:val="decimal"/>
      <w:lvlText w:val="%4）"/>
      <w:lvlJc w:val="left"/>
      <w:pPr>
        <w:ind w:left="741" w:hanging="422"/>
        <w:jc w:val="left"/>
      </w:pPr>
      <w:rPr>
        <w:rFonts w:hint="default" w:ascii="仿宋" w:hAnsi="仿宋" w:eastAsia="仿宋" w:cs="仿宋"/>
        <w:spacing w:val="-13"/>
        <w:w w:val="100"/>
        <w:sz w:val="26"/>
        <w:szCs w:val="26"/>
        <w:lang w:val="zh-CN" w:eastAsia="zh-CN" w:bidi="zh-CN"/>
      </w:rPr>
    </w:lvl>
    <w:lvl w:ilvl="4">
      <w:start w:val="0"/>
      <w:numFmt w:val="bullet"/>
      <w:lvlText w:val="•"/>
      <w:lvlJc w:val="left"/>
      <w:pPr>
        <w:ind w:left="1240" w:hanging="422"/>
      </w:pPr>
      <w:rPr>
        <w:rFonts w:hint="default"/>
        <w:lang w:val="zh-CN" w:eastAsia="zh-CN" w:bidi="zh-CN"/>
      </w:rPr>
    </w:lvl>
    <w:lvl w:ilvl="5">
      <w:start w:val="0"/>
      <w:numFmt w:val="bullet"/>
      <w:lvlText w:val="•"/>
      <w:lvlJc w:val="left"/>
      <w:pPr>
        <w:ind w:left="1300" w:hanging="422"/>
      </w:pPr>
      <w:rPr>
        <w:rFonts w:hint="default"/>
        <w:lang w:val="zh-CN" w:eastAsia="zh-CN" w:bidi="zh-CN"/>
      </w:rPr>
    </w:lvl>
    <w:lvl w:ilvl="6">
      <w:start w:val="0"/>
      <w:numFmt w:val="bullet"/>
      <w:lvlText w:val="•"/>
      <w:lvlJc w:val="left"/>
      <w:pPr>
        <w:ind w:left="1800" w:hanging="422"/>
      </w:pPr>
      <w:rPr>
        <w:rFonts w:hint="default"/>
        <w:lang w:val="zh-CN" w:eastAsia="zh-CN" w:bidi="zh-CN"/>
      </w:rPr>
    </w:lvl>
    <w:lvl w:ilvl="7">
      <w:start w:val="0"/>
      <w:numFmt w:val="bullet"/>
      <w:lvlText w:val="•"/>
      <w:lvlJc w:val="left"/>
      <w:pPr>
        <w:ind w:left="3566" w:hanging="422"/>
      </w:pPr>
      <w:rPr>
        <w:rFonts w:hint="default"/>
        <w:lang w:val="zh-CN" w:eastAsia="zh-CN" w:bidi="zh-CN"/>
      </w:rPr>
    </w:lvl>
    <w:lvl w:ilvl="8">
      <w:start w:val="0"/>
      <w:numFmt w:val="bullet"/>
      <w:lvlText w:val="•"/>
      <w:lvlJc w:val="left"/>
      <w:pPr>
        <w:ind w:left="5332" w:hanging="422"/>
      </w:pPr>
      <w:rPr>
        <w:rFonts w:hint="default"/>
        <w:lang w:val="zh-CN" w:eastAsia="zh-CN" w:bidi="zh-CN"/>
      </w:rPr>
    </w:lvl>
  </w:abstractNum>
  <w:abstractNum w:abstractNumId="7">
    <w:multiLevelType w:val="hybridMultilevel"/>
    <w:lvl w:ilvl="0">
      <w:start w:val="1"/>
      <w:numFmt w:val="decimal"/>
      <w:lvlText w:val="（%1）"/>
      <w:lvlJc w:val="left"/>
      <w:pPr>
        <w:ind w:left="1543" w:hanging="702"/>
        <w:jc w:val="left"/>
      </w:pPr>
      <w:rPr>
        <w:rFonts w:hint="default" w:ascii="仿宋" w:hAnsi="仿宋" w:eastAsia="仿宋" w:cs="仿宋"/>
        <w:spacing w:val="-12"/>
        <w:w w:val="100"/>
        <w:sz w:val="26"/>
        <w:szCs w:val="26"/>
        <w:lang w:val="zh-CN" w:eastAsia="zh-CN" w:bidi="zh-CN"/>
      </w:rPr>
    </w:lvl>
    <w:lvl w:ilvl="1">
      <w:start w:val="0"/>
      <w:numFmt w:val="bullet"/>
      <w:lvlText w:val="•"/>
      <w:lvlJc w:val="left"/>
      <w:pPr>
        <w:ind w:left="2320" w:hanging="702"/>
      </w:pPr>
      <w:rPr>
        <w:rFonts w:hint="default"/>
        <w:lang w:val="zh-CN" w:eastAsia="zh-CN" w:bidi="zh-CN"/>
      </w:rPr>
    </w:lvl>
    <w:lvl w:ilvl="2">
      <w:start w:val="0"/>
      <w:numFmt w:val="bullet"/>
      <w:lvlText w:val="•"/>
      <w:lvlJc w:val="left"/>
      <w:pPr>
        <w:ind w:left="3101" w:hanging="702"/>
      </w:pPr>
      <w:rPr>
        <w:rFonts w:hint="default"/>
        <w:lang w:val="zh-CN" w:eastAsia="zh-CN" w:bidi="zh-CN"/>
      </w:rPr>
    </w:lvl>
    <w:lvl w:ilvl="3">
      <w:start w:val="0"/>
      <w:numFmt w:val="bullet"/>
      <w:lvlText w:val="•"/>
      <w:lvlJc w:val="left"/>
      <w:pPr>
        <w:ind w:left="3881" w:hanging="702"/>
      </w:pPr>
      <w:rPr>
        <w:rFonts w:hint="default"/>
        <w:lang w:val="zh-CN" w:eastAsia="zh-CN" w:bidi="zh-CN"/>
      </w:rPr>
    </w:lvl>
    <w:lvl w:ilvl="4">
      <w:start w:val="0"/>
      <w:numFmt w:val="bullet"/>
      <w:lvlText w:val="•"/>
      <w:lvlJc w:val="left"/>
      <w:pPr>
        <w:ind w:left="4662" w:hanging="702"/>
      </w:pPr>
      <w:rPr>
        <w:rFonts w:hint="default"/>
        <w:lang w:val="zh-CN" w:eastAsia="zh-CN" w:bidi="zh-CN"/>
      </w:rPr>
    </w:lvl>
    <w:lvl w:ilvl="5">
      <w:start w:val="0"/>
      <w:numFmt w:val="bullet"/>
      <w:lvlText w:val="•"/>
      <w:lvlJc w:val="left"/>
      <w:pPr>
        <w:ind w:left="5442" w:hanging="702"/>
      </w:pPr>
      <w:rPr>
        <w:rFonts w:hint="default"/>
        <w:lang w:val="zh-CN" w:eastAsia="zh-CN" w:bidi="zh-CN"/>
      </w:rPr>
    </w:lvl>
    <w:lvl w:ilvl="6">
      <w:start w:val="0"/>
      <w:numFmt w:val="bullet"/>
      <w:lvlText w:val="•"/>
      <w:lvlJc w:val="left"/>
      <w:pPr>
        <w:ind w:left="6223" w:hanging="702"/>
      </w:pPr>
      <w:rPr>
        <w:rFonts w:hint="default"/>
        <w:lang w:val="zh-CN" w:eastAsia="zh-CN" w:bidi="zh-CN"/>
      </w:rPr>
    </w:lvl>
    <w:lvl w:ilvl="7">
      <w:start w:val="0"/>
      <w:numFmt w:val="bullet"/>
      <w:lvlText w:val="•"/>
      <w:lvlJc w:val="left"/>
      <w:pPr>
        <w:ind w:left="7003" w:hanging="702"/>
      </w:pPr>
      <w:rPr>
        <w:rFonts w:hint="default"/>
        <w:lang w:val="zh-CN" w:eastAsia="zh-CN" w:bidi="zh-CN"/>
      </w:rPr>
    </w:lvl>
    <w:lvl w:ilvl="8">
      <w:start w:val="0"/>
      <w:numFmt w:val="bullet"/>
      <w:lvlText w:val="•"/>
      <w:lvlJc w:val="left"/>
      <w:pPr>
        <w:ind w:left="7784" w:hanging="702"/>
      </w:pPr>
      <w:rPr>
        <w:rFonts w:hint="default"/>
        <w:lang w:val="zh-CN" w:eastAsia="zh-CN" w:bidi="zh-CN"/>
      </w:rPr>
    </w:lvl>
  </w:abstractNum>
  <w:abstractNum w:abstractNumId="6">
    <w:multiLevelType w:val="hybridMultilevel"/>
    <w:lvl w:ilvl="0">
      <w:start w:val="1"/>
      <w:numFmt w:val="decimal"/>
      <w:lvlText w:val="(%1)"/>
      <w:lvlJc w:val="left"/>
      <w:pPr>
        <w:ind w:left="421" w:hanging="330"/>
        <w:jc w:val="left"/>
      </w:pPr>
      <w:rPr>
        <w:rFonts w:hint="default" w:ascii="Times New Roman" w:hAnsi="Times New Roman" w:eastAsia="Times New Roman" w:cs="Times New Roman"/>
        <w:w w:val="100"/>
        <w:sz w:val="26"/>
        <w:szCs w:val="26"/>
        <w:lang w:val="zh-CN" w:eastAsia="zh-CN" w:bidi="zh-CN"/>
      </w:rPr>
    </w:lvl>
    <w:lvl w:ilvl="1">
      <w:start w:val="0"/>
      <w:numFmt w:val="bullet"/>
      <w:lvlText w:val="•"/>
      <w:lvlJc w:val="left"/>
      <w:pPr>
        <w:ind w:left="1312" w:hanging="330"/>
      </w:pPr>
      <w:rPr>
        <w:rFonts w:hint="default"/>
        <w:lang w:val="zh-CN" w:eastAsia="zh-CN" w:bidi="zh-CN"/>
      </w:rPr>
    </w:lvl>
    <w:lvl w:ilvl="2">
      <w:start w:val="0"/>
      <w:numFmt w:val="bullet"/>
      <w:lvlText w:val="•"/>
      <w:lvlJc w:val="left"/>
      <w:pPr>
        <w:ind w:left="2205" w:hanging="330"/>
      </w:pPr>
      <w:rPr>
        <w:rFonts w:hint="default"/>
        <w:lang w:val="zh-CN" w:eastAsia="zh-CN" w:bidi="zh-CN"/>
      </w:rPr>
    </w:lvl>
    <w:lvl w:ilvl="3">
      <w:start w:val="0"/>
      <w:numFmt w:val="bullet"/>
      <w:lvlText w:val="•"/>
      <w:lvlJc w:val="left"/>
      <w:pPr>
        <w:ind w:left="3097" w:hanging="330"/>
      </w:pPr>
      <w:rPr>
        <w:rFonts w:hint="default"/>
        <w:lang w:val="zh-CN" w:eastAsia="zh-CN" w:bidi="zh-CN"/>
      </w:rPr>
    </w:lvl>
    <w:lvl w:ilvl="4">
      <w:start w:val="0"/>
      <w:numFmt w:val="bullet"/>
      <w:lvlText w:val="•"/>
      <w:lvlJc w:val="left"/>
      <w:pPr>
        <w:ind w:left="3990" w:hanging="330"/>
      </w:pPr>
      <w:rPr>
        <w:rFonts w:hint="default"/>
        <w:lang w:val="zh-CN" w:eastAsia="zh-CN" w:bidi="zh-CN"/>
      </w:rPr>
    </w:lvl>
    <w:lvl w:ilvl="5">
      <w:start w:val="0"/>
      <w:numFmt w:val="bullet"/>
      <w:lvlText w:val="•"/>
      <w:lvlJc w:val="left"/>
      <w:pPr>
        <w:ind w:left="4882" w:hanging="330"/>
      </w:pPr>
      <w:rPr>
        <w:rFonts w:hint="default"/>
        <w:lang w:val="zh-CN" w:eastAsia="zh-CN" w:bidi="zh-CN"/>
      </w:rPr>
    </w:lvl>
    <w:lvl w:ilvl="6">
      <w:start w:val="0"/>
      <w:numFmt w:val="bullet"/>
      <w:lvlText w:val="•"/>
      <w:lvlJc w:val="left"/>
      <w:pPr>
        <w:ind w:left="5775" w:hanging="330"/>
      </w:pPr>
      <w:rPr>
        <w:rFonts w:hint="default"/>
        <w:lang w:val="zh-CN" w:eastAsia="zh-CN" w:bidi="zh-CN"/>
      </w:rPr>
    </w:lvl>
    <w:lvl w:ilvl="7">
      <w:start w:val="0"/>
      <w:numFmt w:val="bullet"/>
      <w:lvlText w:val="•"/>
      <w:lvlJc w:val="left"/>
      <w:pPr>
        <w:ind w:left="6667" w:hanging="330"/>
      </w:pPr>
      <w:rPr>
        <w:rFonts w:hint="default"/>
        <w:lang w:val="zh-CN" w:eastAsia="zh-CN" w:bidi="zh-CN"/>
      </w:rPr>
    </w:lvl>
    <w:lvl w:ilvl="8">
      <w:start w:val="0"/>
      <w:numFmt w:val="bullet"/>
      <w:lvlText w:val="•"/>
      <w:lvlJc w:val="left"/>
      <w:pPr>
        <w:ind w:left="7560" w:hanging="330"/>
      </w:pPr>
      <w:rPr>
        <w:rFonts w:hint="default"/>
        <w:lang w:val="zh-CN" w:eastAsia="zh-CN" w:bidi="zh-CN"/>
      </w:rPr>
    </w:lvl>
  </w:abstractNum>
  <w:abstractNum w:abstractNumId="4">
    <w:multiLevelType w:val="hybridMultilevel"/>
    <w:lvl w:ilvl="0">
      <w:start w:val="1"/>
      <w:numFmt w:val="decimal"/>
      <w:lvlText w:val="（%1）"/>
      <w:lvlJc w:val="left"/>
      <w:pPr>
        <w:ind w:left="1482" w:hanging="702"/>
        <w:jc w:val="left"/>
      </w:pPr>
      <w:rPr>
        <w:rFonts w:hint="default" w:ascii="仿宋" w:hAnsi="仿宋" w:eastAsia="仿宋" w:cs="仿宋"/>
        <w:spacing w:val="-2"/>
        <w:w w:val="100"/>
        <w:sz w:val="26"/>
        <w:szCs w:val="26"/>
        <w:lang w:val="zh-CN" w:eastAsia="zh-CN" w:bidi="zh-CN"/>
      </w:rPr>
    </w:lvl>
    <w:lvl w:ilvl="1">
      <w:start w:val="0"/>
      <w:numFmt w:val="bullet"/>
      <w:lvlText w:val="•"/>
      <w:lvlJc w:val="left"/>
      <w:pPr>
        <w:ind w:left="2232" w:hanging="702"/>
      </w:pPr>
      <w:rPr>
        <w:rFonts w:hint="default"/>
        <w:lang w:val="zh-CN" w:eastAsia="zh-CN" w:bidi="zh-CN"/>
      </w:rPr>
    </w:lvl>
    <w:lvl w:ilvl="2">
      <w:start w:val="0"/>
      <w:numFmt w:val="bullet"/>
      <w:lvlText w:val="•"/>
      <w:lvlJc w:val="left"/>
      <w:pPr>
        <w:ind w:left="2985" w:hanging="702"/>
      </w:pPr>
      <w:rPr>
        <w:rFonts w:hint="default"/>
        <w:lang w:val="zh-CN" w:eastAsia="zh-CN" w:bidi="zh-CN"/>
      </w:rPr>
    </w:lvl>
    <w:lvl w:ilvl="3">
      <w:start w:val="0"/>
      <w:numFmt w:val="bullet"/>
      <w:lvlText w:val="•"/>
      <w:lvlJc w:val="left"/>
      <w:pPr>
        <w:ind w:left="3737" w:hanging="702"/>
      </w:pPr>
      <w:rPr>
        <w:rFonts w:hint="default"/>
        <w:lang w:val="zh-CN" w:eastAsia="zh-CN" w:bidi="zh-CN"/>
      </w:rPr>
    </w:lvl>
    <w:lvl w:ilvl="4">
      <w:start w:val="0"/>
      <w:numFmt w:val="bullet"/>
      <w:lvlText w:val="•"/>
      <w:lvlJc w:val="left"/>
      <w:pPr>
        <w:ind w:left="4490" w:hanging="702"/>
      </w:pPr>
      <w:rPr>
        <w:rFonts w:hint="default"/>
        <w:lang w:val="zh-CN" w:eastAsia="zh-CN" w:bidi="zh-CN"/>
      </w:rPr>
    </w:lvl>
    <w:lvl w:ilvl="5">
      <w:start w:val="0"/>
      <w:numFmt w:val="bullet"/>
      <w:lvlText w:val="•"/>
      <w:lvlJc w:val="left"/>
      <w:pPr>
        <w:ind w:left="5242" w:hanging="702"/>
      </w:pPr>
      <w:rPr>
        <w:rFonts w:hint="default"/>
        <w:lang w:val="zh-CN" w:eastAsia="zh-CN" w:bidi="zh-CN"/>
      </w:rPr>
    </w:lvl>
    <w:lvl w:ilvl="6">
      <w:start w:val="0"/>
      <w:numFmt w:val="bullet"/>
      <w:lvlText w:val="•"/>
      <w:lvlJc w:val="left"/>
      <w:pPr>
        <w:ind w:left="5995" w:hanging="702"/>
      </w:pPr>
      <w:rPr>
        <w:rFonts w:hint="default"/>
        <w:lang w:val="zh-CN" w:eastAsia="zh-CN" w:bidi="zh-CN"/>
      </w:rPr>
    </w:lvl>
    <w:lvl w:ilvl="7">
      <w:start w:val="0"/>
      <w:numFmt w:val="bullet"/>
      <w:lvlText w:val="•"/>
      <w:lvlJc w:val="left"/>
      <w:pPr>
        <w:ind w:left="6747" w:hanging="702"/>
      </w:pPr>
      <w:rPr>
        <w:rFonts w:hint="default"/>
        <w:lang w:val="zh-CN" w:eastAsia="zh-CN" w:bidi="zh-CN"/>
      </w:rPr>
    </w:lvl>
    <w:lvl w:ilvl="8">
      <w:start w:val="0"/>
      <w:numFmt w:val="bullet"/>
      <w:lvlText w:val="•"/>
      <w:lvlJc w:val="left"/>
      <w:pPr>
        <w:ind w:left="7500" w:hanging="702"/>
      </w:pPr>
      <w:rPr>
        <w:rFonts w:hint="default"/>
        <w:lang w:val="zh-CN" w:eastAsia="zh-CN" w:bidi="zh-CN"/>
      </w:rPr>
    </w:lvl>
  </w:abstractNum>
  <w:abstractNum w:abstractNumId="3">
    <w:multiLevelType w:val="hybridMultilevel"/>
    <w:lvl w:ilvl="0">
      <w:start w:val="2"/>
      <w:numFmt w:val="decimal"/>
      <w:lvlText w:val="%1"/>
      <w:lvlJc w:val="left"/>
      <w:pPr>
        <w:ind w:left="463" w:hanging="243"/>
        <w:jc w:val="left"/>
      </w:pPr>
      <w:rPr>
        <w:rFonts w:hint="default" w:ascii="仿宋" w:hAnsi="仿宋" w:eastAsia="仿宋" w:cs="仿宋"/>
        <w:b/>
        <w:bCs/>
        <w:w w:val="98"/>
        <w:sz w:val="32"/>
        <w:szCs w:val="32"/>
        <w:lang w:val="zh-CN" w:eastAsia="zh-CN" w:bidi="zh-CN"/>
      </w:rPr>
    </w:lvl>
    <w:lvl w:ilvl="1">
      <w:start w:val="1"/>
      <w:numFmt w:val="decimal"/>
      <w:lvlText w:val="%1.%2"/>
      <w:lvlJc w:val="left"/>
      <w:pPr>
        <w:ind w:left="716" w:hanging="495"/>
        <w:jc w:val="right"/>
      </w:pPr>
      <w:rPr>
        <w:rFonts w:hint="default" w:ascii="仿宋" w:hAnsi="仿宋" w:eastAsia="仿宋" w:cs="仿宋"/>
        <w:b/>
        <w:bCs/>
        <w:spacing w:val="0"/>
        <w:w w:val="99"/>
        <w:sz w:val="28"/>
        <w:szCs w:val="28"/>
        <w:lang w:val="zh-CN" w:eastAsia="zh-CN" w:bidi="zh-CN"/>
      </w:rPr>
    </w:lvl>
    <w:lvl w:ilvl="2">
      <w:start w:val="1"/>
      <w:numFmt w:val="decimal"/>
      <w:lvlText w:val="%1.%2.%3"/>
      <w:lvlJc w:val="left"/>
      <w:pPr>
        <w:ind w:left="1277" w:hanging="776"/>
        <w:jc w:val="left"/>
      </w:pPr>
      <w:rPr>
        <w:rFonts w:hint="default" w:ascii="仿宋" w:hAnsi="仿宋" w:eastAsia="仿宋" w:cs="仿宋"/>
        <w:b/>
        <w:bCs/>
        <w:spacing w:val="0"/>
        <w:w w:val="99"/>
        <w:sz w:val="28"/>
        <w:szCs w:val="28"/>
        <w:lang w:val="zh-CN" w:eastAsia="zh-CN" w:bidi="zh-CN"/>
      </w:rPr>
    </w:lvl>
    <w:lvl w:ilvl="3">
      <w:start w:val="1"/>
      <w:numFmt w:val="decimal"/>
      <w:lvlText w:val="（%4）"/>
      <w:lvlJc w:val="left"/>
      <w:pPr>
        <w:ind w:left="1482" w:hanging="702"/>
        <w:jc w:val="left"/>
      </w:pPr>
      <w:rPr>
        <w:rFonts w:hint="default" w:ascii="仿宋" w:hAnsi="仿宋" w:eastAsia="仿宋" w:cs="仿宋"/>
        <w:spacing w:val="-2"/>
        <w:w w:val="100"/>
        <w:sz w:val="26"/>
        <w:szCs w:val="26"/>
        <w:lang w:val="zh-CN" w:eastAsia="zh-CN" w:bidi="zh-CN"/>
      </w:rPr>
    </w:lvl>
    <w:lvl w:ilvl="4">
      <w:start w:val="0"/>
      <w:numFmt w:val="bullet"/>
      <w:lvlText w:val="•"/>
      <w:lvlJc w:val="left"/>
      <w:pPr>
        <w:ind w:left="2555" w:hanging="702"/>
      </w:pPr>
      <w:rPr>
        <w:rFonts w:hint="default"/>
        <w:lang w:val="zh-CN" w:eastAsia="zh-CN" w:bidi="zh-CN"/>
      </w:rPr>
    </w:lvl>
    <w:lvl w:ilvl="5">
      <w:start w:val="0"/>
      <w:numFmt w:val="bullet"/>
      <w:lvlText w:val="•"/>
      <w:lvlJc w:val="left"/>
      <w:pPr>
        <w:ind w:left="3630" w:hanging="702"/>
      </w:pPr>
      <w:rPr>
        <w:rFonts w:hint="default"/>
        <w:lang w:val="zh-CN" w:eastAsia="zh-CN" w:bidi="zh-CN"/>
      </w:rPr>
    </w:lvl>
    <w:lvl w:ilvl="6">
      <w:start w:val="0"/>
      <w:numFmt w:val="bullet"/>
      <w:lvlText w:val="•"/>
      <w:lvlJc w:val="left"/>
      <w:pPr>
        <w:ind w:left="4705" w:hanging="702"/>
      </w:pPr>
      <w:rPr>
        <w:rFonts w:hint="default"/>
        <w:lang w:val="zh-CN" w:eastAsia="zh-CN" w:bidi="zh-CN"/>
      </w:rPr>
    </w:lvl>
    <w:lvl w:ilvl="7">
      <w:start w:val="0"/>
      <w:numFmt w:val="bullet"/>
      <w:lvlText w:val="•"/>
      <w:lvlJc w:val="left"/>
      <w:pPr>
        <w:ind w:left="5780" w:hanging="702"/>
      </w:pPr>
      <w:rPr>
        <w:rFonts w:hint="default"/>
        <w:lang w:val="zh-CN" w:eastAsia="zh-CN" w:bidi="zh-CN"/>
      </w:rPr>
    </w:lvl>
    <w:lvl w:ilvl="8">
      <w:start w:val="0"/>
      <w:numFmt w:val="bullet"/>
      <w:lvlText w:val="•"/>
      <w:lvlJc w:val="left"/>
      <w:pPr>
        <w:ind w:left="6855" w:hanging="702"/>
      </w:pPr>
      <w:rPr>
        <w:rFonts w:hint="default"/>
        <w:lang w:val="zh-CN" w:eastAsia="zh-CN" w:bidi="zh-CN"/>
      </w:rPr>
    </w:lvl>
  </w:abstractNum>
  <w:abstractNum w:abstractNumId="2">
    <w:multiLevelType w:val="hybridMultilevel"/>
    <w:lvl w:ilvl="0">
      <w:start w:val="1"/>
      <w:numFmt w:val="decimal"/>
      <w:lvlText w:val="%1"/>
      <w:lvlJc w:val="left"/>
      <w:pPr>
        <w:ind w:left="463" w:hanging="243"/>
        <w:jc w:val="left"/>
      </w:pPr>
      <w:rPr>
        <w:rFonts w:hint="default" w:ascii="仿宋" w:hAnsi="仿宋" w:eastAsia="仿宋" w:cs="仿宋"/>
        <w:b/>
        <w:bCs/>
        <w:w w:val="98"/>
        <w:sz w:val="32"/>
        <w:szCs w:val="32"/>
        <w:lang w:val="zh-CN" w:eastAsia="zh-CN" w:bidi="zh-CN"/>
      </w:rPr>
    </w:lvl>
    <w:lvl w:ilvl="1">
      <w:start w:val="1"/>
      <w:numFmt w:val="decimal"/>
      <w:lvlText w:val="%1.%2"/>
      <w:lvlJc w:val="left"/>
      <w:pPr>
        <w:ind w:left="716" w:hanging="495"/>
        <w:jc w:val="left"/>
      </w:pPr>
      <w:rPr>
        <w:rFonts w:hint="default" w:ascii="仿宋" w:hAnsi="仿宋" w:eastAsia="仿宋" w:cs="仿宋"/>
        <w:b/>
        <w:bCs/>
        <w:spacing w:val="0"/>
        <w:w w:val="99"/>
        <w:sz w:val="28"/>
        <w:szCs w:val="28"/>
        <w:lang w:val="zh-CN" w:eastAsia="zh-CN" w:bidi="zh-CN"/>
      </w:rPr>
    </w:lvl>
    <w:lvl w:ilvl="2">
      <w:start w:val="1"/>
      <w:numFmt w:val="decimal"/>
      <w:lvlText w:val="%1.%2.%3"/>
      <w:lvlJc w:val="left"/>
      <w:pPr>
        <w:ind w:left="1277" w:hanging="776"/>
        <w:jc w:val="right"/>
      </w:pPr>
      <w:rPr>
        <w:rFonts w:hint="default" w:ascii="仿宋" w:hAnsi="仿宋" w:eastAsia="仿宋" w:cs="仿宋"/>
        <w:b/>
        <w:bCs/>
        <w:spacing w:val="0"/>
        <w:w w:val="99"/>
        <w:sz w:val="28"/>
        <w:szCs w:val="28"/>
        <w:lang w:val="zh-CN" w:eastAsia="zh-CN" w:bidi="zh-CN"/>
      </w:rPr>
    </w:lvl>
    <w:lvl w:ilvl="3">
      <w:start w:val="0"/>
      <w:numFmt w:val="bullet"/>
      <w:lvlText w:val="•"/>
      <w:lvlJc w:val="left"/>
      <w:pPr>
        <w:ind w:left="2245" w:hanging="776"/>
      </w:pPr>
      <w:rPr>
        <w:rFonts w:hint="default"/>
        <w:lang w:val="zh-CN" w:eastAsia="zh-CN" w:bidi="zh-CN"/>
      </w:rPr>
    </w:lvl>
    <w:lvl w:ilvl="4">
      <w:start w:val="0"/>
      <w:numFmt w:val="bullet"/>
      <w:lvlText w:val="•"/>
      <w:lvlJc w:val="left"/>
      <w:pPr>
        <w:ind w:left="3211" w:hanging="776"/>
      </w:pPr>
      <w:rPr>
        <w:rFonts w:hint="default"/>
        <w:lang w:val="zh-CN" w:eastAsia="zh-CN" w:bidi="zh-CN"/>
      </w:rPr>
    </w:lvl>
    <w:lvl w:ilvl="5">
      <w:start w:val="0"/>
      <w:numFmt w:val="bullet"/>
      <w:lvlText w:val="•"/>
      <w:lvlJc w:val="left"/>
      <w:pPr>
        <w:ind w:left="4177" w:hanging="776"/>
      </w:pPr>
      <w:rPr>
        <w:rFonts w:hint="default"/>
        <w:lang w:val="zh-CN" w:eastAsia="zh-CN" w:bidi="zh-CN"/>
      </w:rPr>
    </w:lvl>
    <w:lvl w:ilvl="6">
      <w:start w:val="0"/>
      <w:numFmt w:val="bullet"/>
      <w:lvlText w:val="•"/>
      <w:lvlJc w:val="left"/>
      <w:pPr>
        <w:ind w:left="5142" w:hanging="776"/>
      </w:pPr>
      <w:rPr>
        <w:rFonts w:hint="default"/>
        <w:lang w:val="zh-CN" w:eastAsia="zh-CN" w:bidi="zh-CN"/>
      </w:rPr>
    </w:lvl>
    <w:lvl w:ilvl="7">
      <w:start w:val="0"/>
      <w:numFmt w:val="bullet"/>
      <w:lvlText w:val="•"/>
      <w:lvlJc w:val="left"/>
      <w:pPr>
        <w:ind w:left="6108" w:hanging="776"/>
      </w:pPr>
      <w:rPr>
        <w:rFonts w:hint="default"/>
        <w:lang w:val="zh-CN" w:eastAsia="zh-CN" w:bidi="zh-CN"/>
      </w:rPr>
    </w:lvl>
    <w:lvl w:ilvl="8">
      <w:start w:val="0"/>
      <w:numFmt w:val="bullet"/>
      <w:lvlText w:val="•"/>
      <w:lvlJc w:val="left"/>
      <w:pPr>
        <w:ind w:left="7074" w:hanging="776"/>
      </w:pPr>
      <w:rPr>
        <w:rFonts w:hint="default"/>
        <w:lang w:val="zh-CN" w:eastAsia="zh-CN" w:bidi="zh-CN"/>
      </w:rPr>
    </w:lvl>
  </w:abstractNum>
  <w:abstractNum w:abstractNumId="1">
    <w:multiLevelType w:val="hybridMultilevel"/>
    <w:lvl w:ilvl="0">
      <w:start w:val="13"/>
      <w:numFmt w:val="decimal"/>
      <w:lvlText w:val="%1"/>
      <w:lvlJc w:val="left"/>
      <w:pPr>
        <w:ind w:left="1138" w:hanging="637"/>
        <w:jc w:val="left"/>
      </w:pPr>
      <w:rPr>
        <w:rFonts w:hint="default"/>
        <w:lang w:val="zh-CN" w:eastAsia="zh-CN" w:bidi="zh-CN"/>
      </w:rPr>
    </w:lvl>
    <w:lvl w:ilvl="1">
      <w:start w:val="1"/>
      <w:numFmt w:val="decimal"/>
      <w:lvlText w:val="%1.%2"/>
      <w:lvlJc w:val="left"/>
      <w:pPr>
        <w:ind w:left="1138" w:hanging="637"/>
        <w:jc w:val="left"/>
      </w:pPr>
      <w:rPr>
        <w:rFonts w:hint="default" w:ascii="仿宋" w:hAnsi="仿宋" w:eastAsia="仿宋" w:cs="仿宋"/>
        <w:b/>
        <w:bCs/>
        <w:spacing w:val="0"/>
        <w:w w:val="99"/>
        <w:sz w:val="28"/>
        <w:szCs w:val="28"/>
        <w:lang w:val="zh-CN" w:eastAsia="zh-CN" w:bidi="zh-CN"/>
      </w:rPr>
    </w:lvl>
    <w:lvl w:ilvl="2">
      <w:start w:val="0"/>
      <w:numFmt w:val="bullet"/>
      <w:lvlText w:val="•"/>
      <w:lvlJc w:val="left"/>
      <w:pPr>
        <w:ind w:left="2713" w:hanging="637"/>
      </w:pPr>
      <w:rPr>
        <w:rFonts w:hint="default"/>
        <w:lang w:val="zh-CN" w:eastAsia="zh-CN" w:bidi="zh-CN"/>
      </w:rPr>
    </w:lvl>
    <w:lvl w:ilvl="3">
      <w:start w:val="0"/>
      <w:numFmt w:val="bullet"/>
      <w:lvlText w:val="•"/>
      <w:lvlJc w:val="left"/>
      <w:pPr>
        <w:ind w:left="3499" w:hanging="637"/>
      </w:pPr>
      <w:rPr>
        <w:rFonts w:hint="default"/>
        <w:lang w:val="zh-CN" w:eastAsia="zh-CN" w:bidi="zh-CN"/>
      </w:rPr>
    </w:lvl>
    <w:lvl w:ilvl="4">
      <w:start w:val="0"/>
      <w:numFmt w:val="bullet"/>
      <w:lvlText w:val="•"/>
      <w:lvlJc w:val="left"/>
      <w:pPr>
        <w:ind w:left="4286" w:hanging="637"/>
      </w:pPr>
      <w:rPr>
        <w:rFonts w:hint="default"/>
        <w:lang w:val="zh-CN" w:eastAsia="zh-CN" w:bidi="zh-CN"/>
      </w:rPr>
    </w:lvl>
    <w:lvl w:ilvl="5">
      <w:start w:val="0"/>
      <w:numFmt w:val="bullet"/>
      <w:lvlText w:val="•"/>
      <w:lvlJc w:val="left"/>
      <w:pPr>
        <w:ind w:left="5072" w:hanging="637"/>
      </w:pPr>
      <w:rPr>
        <w:rFonts w:hint="default"/>
        <w:lang w:val="zh-CN" w:eastAsia="zh-CN" w:bidi="zh-CN"/>
      </w:rPr>
    </w:lvl>
    <w:lvl w:ilvl="6">
      <w:start w:val="0"/>
      <w:numFmt w:val="bullet"/>
      <w:lvlText w:val="•"/>
      <w:lvlJc w:val="left"/>
      <w:pPr>
        <w:ind w:left="5859" w:hanging="637"/>
      </w:pPr>
      <w:rPr>
        <w:rFonts w:hint="default"/>
        <w:lang w:val="zh-CN" w:eastAsia="zh-CN" w:bidi="zh-CN"/>
      </w:rPr>
    </w:lvl>
    <w:lvl w:ilvl="7">
      <w:start w:val="0"/>
      <w:numFmt w:val="bullet"/>
      <w:lvlText w:val="•"/>
      <w:lvlJc w:val="left"/>
      <w:pPr>
        <w:ind w:left="6645" w:hanging="637"/>
      </w:pPr>
      <w:rPr>
        <w:rFonts w:hint="default"/>
        <w:lang w:val="zh-CN" w:eastAsia="zh-CN" w:bidi="zh-CN"/>
      </w:rPr>
    </w:lvl>
    <w:lvl w:ilvl="8">
      <w:start w:val="0"/>
      <w:numFmt w:val="bullet"/>
      <w:lvlText w:val="•"/>
      <w:lvlJc w:val="left"/>
      <w:pPr>
        <w:ind w:left="7432" w:hanging="637"/>
      </w:pPr>
      <w:rPr>
        <w:rFonts w:hint="default"/>
        <w:lang w:val="zh-CN" w:eastAsia="zh-CN" w:bidi="zh-CN"/>
      </w:rPr>
    </w:lvl>
  </w:abstractNum>
  <w:abstractNum w:abstractNumId="0">
    <w:multiLevelType w:val="hybridMultilevel"/>
    <w:lvl w:ilvl="0">
      <w:start w:val="1"/>
      <w:numFmt w:val="decimal"/>
      <w:lvlText w:val="%1"/>
      <w:lvlJc w:val="left"/>
      <w:pPr>
        <w:ind w:left="432" w:hanging="212"/>
        <w:jc w:val="left"/>
      </w:pPr>
      <w:rPr>
        <w:rFonts w:hint="default" w:ascii="仿宋" w:hAnsi="仿宋" w:eastAsia="仿宋" w:cs="仿宋"/>
        <w:b/>
        <w:bCs/>
        <w:w w:val="99"/>
        <w:sz w:val="28"/>
        <w:szCs w:val="28"/>
        <w:lang w:val="zh-CN" w:eastAsia="zh-CN" w:bidi="zh-CN"/>
      </w:rPr>
    </w:lvl>
    <w:lvl w:ilvl="1">
      <w:start w:val="1"/>
      <w:numFmt w:val="decimal"/>
      <w:lvlText w:val="%1.%2"/>
      <w:lvlJc w:val="left"/>
      <w:pPr>
        <w:ind w:left="996" w:hanging="495"/>
        <w:jc w:val="left"/>
      </w:pPr>
      <w:rPr>
        <w:rFonts w:hint="default" w:ascii="仿宋" w:hAnsi="仿宋" w:eastAsia="仿宋" w:cs="仿宋"/>
        <w:b/>
        <w:bCs/>
        <w:spacing w:val="0"/>
        <w:w w:val="99"/>
        <w:sz w:val="28"/>
        <w:szCs w:val="28"/>
        <w:lang w:val="zh-CN" w:eastAsia="zh-CN" w:bidi="zh-CN"/>
      </w:rPr>
    </w:lvl>
    <w:lvl w:ilvl="2">
      <w:start w:val="0"/>
      <w:numFmt w:val="bullet"/>
      <w:lvlText w:val="•"/>
      <w:lvlJc w:val="left"/>
      <w:pPr>
        <w:ind w:left="1060" w:hanging="495"/>
      </w:pPr>
      <w:rPr>
        <w:rFonts w:hint="default"/>
        <w:lang w:val="zh-CN" w:eastAsia="zh-CN" w:bidi="zh-CN"/>
      </w:rPr>
    </w:lvl>
    <w:lvl w:ilvl="3">
      <w:start w:val="0"/>
      <w:numFmt w:val="bullet"/>
      <w:lvlText w:val="•"/>
      <w:lvlJc w:val="left"/>
      <w:pPr>
        <w:ind w:left="1140" w:hanging="495"/>
      </w:pPr>
      <w:rPr>
        <w:rFonts w:hint="default"/>
        <w:lang w:val="zh-CN" w:eastAsia="zh-CN" w:bidi="zh-CN"/>
      </w:rPr>
    </w:lvl>
    <w:lvl w:ilvl="4">
      <w:start w:val="0"/>
      <w:numFmt w:val="bullet"/>
      <w:lvlText w:val="•"/>
      <w:lvlJc w:val="left"/>
      <w:pPr>
        <w:ind w:left="2263" w:hanging="495"/>
      </w:pPr>
      <w:rPr>
        <w:rFonts w:hint="default"/>
        <w:lang w:val="zh-CN" w:eastAsia="zh-CN" w:bidi="zh-CN"/>
      </w:rPr>
    </w:lvl>
    <w:lvl w:ilvl="5">
      <w:start w:val="0"/>
      <w:numFmt w:val="bullet"/>
      <w:lvlText w:val="•"/>
      <w:lvlJc w:val="left"/>
      <w:pPr>
        <w:ind w:left="3387" w:hanging="495"/>
      </w:pPr>
      <w:rPr>
        <w:rFonts w:hint="default"/>
        <w:lang w:val="zh-CN" w:eastAsia="zh-CN" w:bidi="zh-CN"/>
      </w:rPr>
    </w:lvl>
    <w:lvl w:ilvl="6">
      <w:start w:val="0"/>
      <w:numFmt w:val="bullet"/>
      <w:lvlText w:val="•"/>
      <w:lvlJc w:val="left"/>
      <w:pPr>
        <w:ind w:left="4510" w:hanging="495"/>
      </w:pPr>
      <w:rPr>
        <w:rFonts w:hint="default"/>
        <w:lang w:val="zh-CN" w:eastAsia="zh-CN" w:bidi="zh-CN"/>
      </w:rPr>
    </w:lvl>
    <w:lvl w:ilvl="7">
      <w:start w:val="0"/>
      <w:numFmt w:val="bullet"/>
      <w:lvlText w:val="•"/>
      <w:lvlJc w:val="left"/>
      <w:pPr>
        <w:ind w:left="5634" w:hanging="495"/>
      </w:pPr>
      <w:rPr>
        <w:rFonts w:hint="default"/>
        <w:lang w:val="zh-CN" w:eastAsia="zh-CN" w:bidi="zh-CN"/>
      </w:rPr>
    </w:lvl>
    <w:lvl w:ilvl="8">
      <w:start w:val="0"/>
      <w:numFmt w:val="bullet"/>
      <w:lvlText w:val="•"/>
      <w:lvlJc w:val="left"/>
      <w:pPr>
        <w:ind w:left="6758" w:hanging="495"/>
      </w:pPr>
      <w:rPr>
        <w:rFonts w:hint="default"/>
        <w:lang w:val="zh-CN" w:eastAsia="zh-CN" w:bidi="zh-CN"/>
      </w:rPr>
    </w:lvl>
  </w:abstractNum>
  <w:num w:numId="6">
    <w:abstractNumId w:val="5"/>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TOC1" w:type="paragraph">
    <w:name w:val="TOC 1"/>
    <w:basedOn w:val="Normal"/>
    <w:uiPriority w:val="1"/>
    <w:qFormat/>
    <w:pPr>
      <w:spacing w:before="4"/>
      <w:ind w:left="996" w:right="289" w:hanging="997"/>
      <w:jc w:val="right"/>
    </w:pPr>
    <w:rPr>
      <w:rFonts w:ascii="仿宋" w:hAnsi="仿宋" w:eastAsia="仿宋" w:cs="仿宋"/>
      <w:b/>
      <w:bCs/>
      <w:sz w:val="28"/>
      <w:szCs w:val="28"/>
      <w:lang w:val="zh-CN" w:eastAsia="zh-CN" w:bidi="zh-CN"/>
    </w:rPr>
  </w:style>
  <w:style w:styleId="BodyText" w:type="paragraph">
    <w:name w:val="Body Text"/>
    <w:basedOn w:val="Normal"/>
    <w:uiPriority w:val="1"/>
    <w:qFormat/>
    <w:pPr/>
    <w:rPr>
      <w:rFonts w:ascii="仿宋" w:hAnsi="仿宋" w:eastAsia="仿宋" w:cs="仿宋"/>
      <w:sz w:val="28"/>
      <w:szCs w:val="28"/>
      <w:lang w:val="zh-CN" w:eastAsia="zh-CN" w:bidi="zh-CN"/>
    </w:rPr>
  </w:style>
  <w:style w:styleId="Heading1" w:type="paragraph">
    <w:name w:val="Heading 1"/>
    <w:basedOn w:val="Normal"/>
    <w:uiPriority w:val="1"/>
    <w:qFormat/>
    <w:pPr>
      <w:spacing w:before="189"/>
      <w:ind w:left="983" w:hanging="243"/>
      <w:outlineLvl w:val="1"/>
    </w:pPr>
    <w:rPr>
      <w:rFonts w:ascii="仿宋" w:hAnsi="仿宋" w:eastAsia="仿宋" w:cs="仿宋"/>
      <w:b/>
      <w:bCs/>
      <w:sz w:val="32"/>
      <w:szCs w:val="32"/>
      <w:lang w:val="zh-CN" w:eastAsia="zh-CN" w:bidi="zh-CN"/>
    </w:rPr>
  </w:style>
  <w:style w:styleId="ListParagraph" w:type="paragraph">
    <w:name w:val="List Paragraph"/>
    <w:basedOn w:val="Normal"/>
    <w:uiPriority w:val="1"/>
    <w:qFormat/>
    <w:pPr>
      <w:ind w:left="996" w:firstLine="559"/>
    </w:pPr>
    <w:rPr>
      <w:rFonts w:ascii="仿宋" w:hAnsi="仿宋" w:eastAsia="仿宋" w:cs="仿宋"/>
      <w:lang w:val="zh-CN" w:eastAsia="zh-CN" w:bidi="zh-CN"/>
    </w:rPr>
  </w:style>
  <w:style w:styleId="TableParagraph" w:type="paragraph">
    <w:name w:val="Table Paragraph"/>
    <w:basedOn w:val="Normal"/>
    <w:uiPriority w:val="1"/>
    <w:qFormat/>
    <w:pPr>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3.xml"/><Relationship Id="rId35" Type="http://schemas.openxmlformats.org/officeDocument/2006/relationships/image" Target="media/image28.png"/><Relationship Id="rId36" Type="http://schemas.openxmlformats.org/officeDocument/2006/relationships/footer" Target="footer4.xml"/><Relationship Id="rId37" Type="http://schemas.openxmlformats.org/officeDocument/2006/relationships/footer" Target="footer5.xml"/><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footer" Target="footer6.xml"/><Relationship Id="rId41" Type="http://schemas.openxmlformats.org/officeDocument/2006/relationships/footer" Target="footer7.xml"/><Relationship Id="rId42" Type="http://schemas.openxmlformats.org/officeDocument/2006/relationships/footer" Target="footer8.xml"/><Relationship Id="rId43" Type="http://schemas.openxmlformats.org/officeDocument/2006/relationships/footer" Target="footer9.xml"/><Relationship Id="rId44" Type="http://schemas.openxmlformats.org/officeDocument/2006/relationships/footer" Target="footer10.xml"/><Relationship Id="rId45" Type="http://schemas.openxmlformats.org/officeDocument/2006/relationships/footer" Target="footer11.xml"/><Relationship Id="rId46" Type="http://schemas.openxmlformats.org/officeDocument/2006/relationships/footer" Target="footer12.xml"/><Relationship Id="rId47" Type="http://schemas.openxmlformats.org/officeDocument/2006/relationships/image" Target="media/image31.png"/><Relationship Id="rId48" Type="http://schemas.openxmlformats.org/officeDocument/2006/relationships/image" Target="media/image32.jpeg"/><Relationship Id="rId49" Type="http://schemas.openxmlformats.org/officeDocument/2006/relationships/image" Target="media/image33.png"/><Relationship Id="rId50" Type="http://schemas.openxmlformats.org/officeDocument/2006/relationships/footer" Target="footer13.xml"/><Relationship Id="rId51" Type="http://schemas.openxmlformats.org/officeDocument/2006/relationships/image" Target="media/image34.jpeg"/><Relationship Id="rId52" Type="http://schemas.openxmlformats.org/officeDocument/2006/relationships/image" Target="media/image35.jpeg"/><Relationship Id="rId53" Type="http://schemas.openxmlformats.org/officeDocument/2006/relationships/footer" Target="footer14.xml"/><Relationship Id="rId54" Type="http://schemas.openxmlformats.org/officeDocument/2006/relationships/footer" Target="footer15.xml"/><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2021-06-03T02:04:04Z</dcterms:created>
  <dcterms:modified xsi:type="dcterms:W3CDTF">2021-06-03T02:04:04Z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2018-09-16T00:00:00Z</vt:filetime>
  </property>
  <property fmtid="{D5CDD505-2E9C-101B-9397-08002B2CF9AE}" pid="3" name="LastSaved">
    <vt:filetime>2021-06-03T00:00:00Z</vt:filetime>
  </property>
</Properties>
</file>